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C7" w:rsidRPr="002F303F" w:rsidRDefault="00747FC7" w:rsidP="003D43ED">
      <w:pPr>
        <w:pStyle w:val="Default"/>
        <w:rPr>
          <w:color w:val="auto"/>
          <w:sz w:val="20"/>
          <w:szCs w:val="20"/>
        </w:rPr>
      </w:pPr>
      <w:r w:rsidRPr="002F303F">
        <w:rPr>
          <w:b/>
          <w:bCs/>
          <w:color w:val="auto"/>
          <w:sz w:val="20"/>
          <w:szCs w:val="20"/>
        </w:rPr>
        <w:t xml:space="preserve">CONDIZIONI GENERALI DI FORNITURA </w:t>
      </w:r>
    </w:p>
    <w:p w:rsidR="00747FC7" w:rsidRPr="002F303F" w:rsidRDefault="00747FC7" w:rsidP="003D43ED">
      <w:pPr>
        <w:pStyle w:val="Default"/>
        <w:jc w:val="both"/>
        <w:rPr>
          <w:color w:val="auto"/>
          <w:sz w:val="12"/>
          <w:szCs w:val="12"/>
        </w:rPr>
      </w:pPr>
      <w:r w:rsidRPr="002F303F">
        <w:rPr>
          <w:b/>
          <w:bCs/>
          <w:color w:val="auto"/>
          <w:sz w:val="12"/>
          <w:szCs w:val="12"/>
        </w:rPr>
        <w:t xml:space="preserve">1) OGGETTO E IMPEGNI </w:t>
      </w:r>
    </w:p>
    <w:p w:rsidR="00747FC7" w:rsidRPr="002F303F" w:rsidRDefault="00747FC7" w:rsidP="003D43ED">
      <w:pPr>
        <w:pStyle w:val="Default"/>
        <w:jc w:val="both"/>
        <w:rPr>
          <w:color w:val="auto"/>
          <w:sz w:val="12"/>
          <w:szCs w:val="12"/>
        </w:rPr>
      </w:pPr>
      <w:r w:rsidRPr="002F303F">
        <w:rPr>
          <w:color w:val="auto"/>
          <w:sz w:val="12"/>
          <w:szCs w:val="12"/>
        </w:rPr>
        <w:t xml:space="preserve">La presente proposta contrattuale ha per oggetto la somministrazione di gas naturale, composto da gas costituiti prevalentemente da metano o gas derivati intercambiabili, presso il punto di riconsegna indicato dal cliente. </w:t>
      </w:r>
    </w:p>
    <w:p w:rsidR="00747FC7" w:rsidRPr="002F303F" w:rsidRDefault="00747FC7" w:rsidP="003D43ED">
      <w:pPr>
        <w:pStyle w:val="Default"/>
        <w:jc w:val="both"/>
        <w:rPr>
          <w:color w:val="auto"/>
          <w:sz w:val="12"/>
          <w:szCs w:val="12"/>
        </w:rPr>
      </w:pPr>
      <w:r w:rsidRPr="002F303F">
        <w:rPr>
          <w:color w:val="auto"/>
          <w:sz w:val="12"/>
          <w:szCs w:val="12"/>
        </w:rPr>
        <w:t>La proposta contrattuale è conforme rispetta il codice di condotta commerciale del gas naturale (Delibera ARG/</w:t>
      </w:r>
      <w:proofErr w:type="spellStart"/>
      <w:r w:rsidRPr="002F303F">
        <w:rPr>
          <w:color w:val="auto"/>
          <w:sz w:val="12"/>
          <w:szCs w:val="12"/>
        </w:rPr>
        <w:t>com</w:t>
      </w:r>
      <w:proofErr w:type="spellEnd"/>
      <w:r w:rsidRPr="002F303F">
        <w:rPr>
          <w:color w:val="auto"/>
          <w:sz w:val="12"/>
          <w:szCs w:val="12"/>
        </w:rPr>
        <w:t xml:space="preserve"> 104/10</w:t>
      </w:r>
      <w:r w:rsidR="00A577B9" w:rsidRPr="002F303F">
        <w:rPr>
          <w:color w:val="auto"/>
          <w:sz w:val="12"/>
          <w:szCs w:val="12"/>
        </w:rPr>
        <w:t xml:space="preserve"> </w:t>
      </w:r>
      <w:r w:rsidR="003B2660" w:rsidRPr="002F303F">
        <w:rPr>
          <w:color w:val="auto"/>
          <w:sz w:val="12"/>
          <w:szCs w:val="12"/>
        </w:rPr>
        <w:t xml:space="preserve"> “</w:t>
      </w:r>
      <w:r w:rsidRPr="002F303F">
        <w:rPr>
          <w:color w:val="auto"/>
          <w:sz w:val="12"/>
          <w:szCs w:val="12"/>
        </w:rPr>
        <w:t>Codice di condotta commerciale per la vendita di energia elettrica e di gas naturale ai clien</w:t>
      </w:r>
      <w:r w:rsidR="00A577B9" w:rsidRPr="002F303F">
        <w:rPr>
          <w:color w:val="auto"/>
          <w:sz w:val="12"/>
          <w:szCs w:val="12"/>
        </w:rPr>
        <w:t>ti finali” del 12 luglio 2010</w:t>
      </w:r>
      <w:r w:rsidRPr="002F303F">
        <w:rPr>
          <w:color w:val="auto"/>
          <w:sz w:val="12"/>
          <w:szCs w:val="12"/>
        </w:rPr>
        <w:t xml:space="preserve">. </w:t>
      </w:r>
      <w:r w:rsidRPr="002F303F">
        <w:rPr>
          <w:b/>
          <w:color w:val="auto"/>
          <w:sz w:val="12"/>
          <w:szCs w:val="12"/>
        </w:rPr>
        <w:t>Rimane totalmente escluso dalla presente proposta contrattuale tutto quanto riguarda la distribuzione del gas a mezzo rete, in quanto non di competenza di NEBRODI GAS VENDITA S.R.L</w:t>
      </w:r>
      <w:r w:rsidRPr="002F303F">
        <w:rPr>
          <w:color w:val="auto"/>
          <w:sz w:val="12"/>
          <w:szCs w:val="12"/>
        </w:rPr>
        <w:t xml:space="preserve">. La somministrazione di gas avviene in modo continuo, senza interruzioni, salvo quanto in seguito meglio specificato, alle condizioni tutte di cui alla presente proposta contrattuale ed in conformità alle disposizioni vigenti emanate dall’Autorità </w:t>
      </w:r>
      <w:r w:rsidR="00F93BDC" w:rsidRPr="002F303F">
        <w:rPr>
          <w:color w:val="auto"/>
          <w:sz w:val="12"/>
          <w:szCs w:val="12"/>
        </w:rPr>
        <w:t xml:space="preserve">di Regolazione </w:t>
      </w:r>
      <w:r w:rsidRPr="002F303F">
        <w:rPr>
          <w:color w:val="auto"/>
          <w:sz w:val="12"/>
          <w:szCs w:val="12"/>
        </w:rPr>
        <w:t>per</w:t>
      </w:r>
      <w:r w:rsidR="00F93BDC" w:rsidRPr="002F303F">
        <w:rPr>
          <w:color w:val="auto"/>
          <w:sz w:val="12"/>
          <w:szCs w:val="12"/>
        </w:rPr>
        <w:t xml:space="preserve"> E</w:t>
      </w:r>
      <w:r w:rsidRPr="002F303F">
        <w:rPr>
          <w:color w:val="auto"/>
          <w:sz w:val="12"/>
          <w:szCs w:val="12"/>
        </w:rPr>
        <w:t xml:space="preserve">nergia </w:t>
      </w:r>
      <w:r w:rsidR="00F93BDC" w:rsidRPr="002F303F">
        <w:rPr>
          <w:color w:val="auto"/>
          <w:sz w:val="12"/>
          <w:szCs w:val="12"/>
        </w:rPr>
        <w:t>Reti e Ambiente</w:t>
      </w:r>
      <w:r w:rsidRPr="002F303F">
        <w:rPr>
          <w:color w:val="auto"/>
          <w:sz w:val="12"/>
          <w:szCs w:val="12"/>
        </w:rPr>
        <w:t xml:space="preserve"> (di seguito </w:t>
      </w:r>
      <w:r w:rsidR="00A577B9" w:rsidRPr="002F303F">
        <w:rPr>
          <w:color w:val="auto"/>
          <w:sz w:val="12"/>
          <w:szCs w:val="12"/>
        </w:rPr>
        <w:t>ARERA</w:t>
      </w:r>
      <w:r w:rsidRPr="002F303F">
        <w:rPr>
          <w:color w:val="auto"/>
          <w:sz w:val="12"/>
          <w:szCs w:val="12"/>
        </w:rPr>
        <w:t xml:space="preserve">). Il cliente si impegna ad utilizzare il gas esclusivamente nell’ambito della tipologia fiscale prevista nell’intestazione della presente proposta contrattuale ed a comunicare tempestivamente eventuali variazioni di utilizzo, al fine di consentire l’esatta applicazione del relativo regime di imposta, sollevando NEBRODI GAS VENDITA S.R.L. da ogni responsabilità per diverso uso del gas. </w:t>
      </w:r>
    </w:p>
    <w:p w:rsidR="00747FC7" w:rsidRPr="002F303F" w:rsidRDefault="00747FC7" w:rsidP="003D43ED">
      <w:pPr>
        <w:pStyle w:val="Default"/>
        <w:jc w:val="both"/>
        <w:rPr>
          <w:color w:val="auto"/>
          <w:sz w:val="12"/>
          <w:szCs w:val="12"/>
        </w:rPr>
      </w:pPr>
      <w:r w:rsidRPr="002F303F">
        <w:rPr>
          <w:color w:val="auto"/>
          <w:sz w:val="12"/>
          <w:szCs w:val="12"/>
        </w:rPr>
        <w:t xml:space="preserve">Il cliente si impegna altresì a non cedere a terzi il gas somministrato, né a prelevarlo indebitamente, con manomissione degli strumenti di misura o comunque con sistemi atti a prelevare il gas senza che lo stesso venga misurato. </w:t>
      </w:r>
    </w:p>
    <w:p w:rsidR="00747FC7" w:rsidRPr="002F303F" w:rsidRDefault="00747FC7" w:rsidP="003D43ED">
      <w:pPr>
        <w:pStyle w:val="Default"/>
        <w:jc w:val="both"/>
        <w:rPr>
          <w:b/>
          <w:color w:val="auto"/>
          <w:sz w:val="12"/>
          <w:szCs w:val="12"/>
        </w:rPr>
      </w:pPr>
      <w:r w:rsidRPr="002F303F">
        <w:rPr>
          <w:b/>
          <w:color w:val="auto"/>
          <w:sz w:val="12"/>
          <w:szCs w:val="12"/>
        </w:rPr>
        <w:t xml:space="preserve">2) DECORRENZA E DURATA </w:t>
      </w:r>
    </w:p>
    <w:p w:rsidR="00747FC7" w:rsidRPr="002F303F" w:rsidRDefault="00747FC7" w:rsidP="003D43ED">
      <w:pPr>
        <w:pStyle w:val="Default"/>
        <w:jc w:val="both"/>
        <w:rPr>
          <w:color w:val="auto"/>
          <w:sz w:val="12"/>
          <w:szCs w:val="12"/>
        </w:rPr>
      </w:pPr>
      <w:r w:rsidRPr="002F303F">
        <w:rPr>
          <w:color w:val="auto"/>
          <w:sz w:val="12"/>
          <w:szCs w:val="12"/>
        </w:rPr>
        <w:t>La presente proposta contrattuale, qualora debitamente sottoscritta, avrà efficacia dalla data di attivazione della fornitura, comunicata attraverso la prima fattura emessa, e avrà inizialmente durata di anni uno (1). Successivamente si intenderà rinnovata tacitamente alla scadenza di anno in anno, salva la facoltà di ciascuna delle parti di risolvere anticipatamente il rapporto, come di seguito disciplinato, in conformità di quanto stabilito dall’</w:t>
      </w:r>
      <w:r w:rsidR="00A577B9" w:rsidRPr="002F303F">
        <w:rPr>
          <w:color w:val="auto"/>
          <w:sz w:val="12"/>
          <w:szCs w:val="12"/>
        </w:rPr>
        <w:t>ARERA</w:t>
      </w:r>
      <w:r w:rsidRPr="002F303F">
        <w:rPr>
          <w:color w:val="auto"/>
          <w:sz w:val="12"/>
          <w:szCs w:val="12"/>
        </w:rPr>
        <w:t xml:space="preserve"> di volta in volta. </w:t>
      </w:r>
    </w:p>
    <w:p w:rsidR="00747FC7" w:rsidRPr="002F303F" w:rsidRDefault="00747FC7" w:rsidP="003D43ED">
      <w:pPr>
        <w:pStyle w:val="Default"/>
        <w:jc w:val="both"/>
        <w:rPr>
          <w:color w:val="auto"/>
          <w:sz w:val="12"/>
          <w:szCs w:val="12"/>
        </w:rPr>
      </w:pPr>
      <w:r w:rsidRPr="002F303F">
        <w:rPr>
          <w:color w:val="auto"/>
          <w:sz w:val="12"/>
          <w:szCs w:val="12"/>
        </w:rPr>
        <w:t xml:space="preserve">In particolare la data di esecuzione del contratto è cosi determinata: </w:t>
      </w:r>
    </w:p>
    <w:p w:rsidR="00747FC7" w:rsidRPr="002F303F" w:rsidRDefault="00747FC7" w:rsidP="003D43ED">
      <w:pPr>
        <w:pStyle w:val="Default"/>
        <w:jc w:val="both"/>
        <w:rPr>
          <w:color w:val="auto"/>
          <w:sz w:val="12"/>
          <w:szCs w:val="12"/>
        </w:rPr>
      </w:pPr>
      <w:r w:rsidRPr="002F303F">
        <w:rPr>
          <w:color w:val="auto"/>
          <w:sz w:val="12"/>
          <w:szCs w:val="12"/>
        </w:rPr>
        <w:t xml:space="preserve">a) in caso di attivazione per subentro (con contatore chiuso), la data di apertura del contatore; </w:t>
      </w:r>
    </w:p>
    <w:p w:rsidR="00747FC7" w:rsidRPr="002F303F" w:rsidRDefault="00747FC7" w:rsidP="003D43ED">
      <w:pPr>
        <w:pStyle w:val="Default"/>
        <w:jc w:val="both"/>
        <w:rPr>
          <w:color w:val="auto"/>
          <w:sz w:val="12"/>
          <w:szCs w:val="12"/>
        </w:rPr>
      </w:pPr>
      <w:r w:rsidRPr="002F303F">
        <w:rPr>
          <w:color w:val="auto"/>
          <w:sz w:val="12"/>
          <w:szCs w:val="12"/>
        </w:rPr>
        <w:t xml:space="preserve">b) in caso di attivazione con subentro immediato (con contatore aperto e lettura concordata), la data della lettura concordata; </w:t>
      </w:r>
    </w:p>
    <w:p w:rsidR="00747FC7" w:rsidRPr="002F303F" w:rsidRDefault="00747FC7" w:rsidP="003D43ED">
      <w:pPr>
        <w:pStyle w:val="Default"/>
        <w:jc w:val="both"/>
        <w:rPr>
          <w:color w:val="auto"/>
          <w:sz w:val="12"/>
          <w:szCs w:val="12"/>
        </w:rPr>
      </w:pPr>
      <w:r w:rsidRPr="002F303F">
        <w:rPr>
          <w:color w:val="auto"/>
          <w:sz w:val="12"/>
          <w:szCs w:val="12"/>
        </w:rPr>
        <w:t>c) in caso di attivazione presso un’utenza con contatore aperto per cambio fornitore (</w:t>
      </w:r>
      <w:proofErr w:type="spellStart"/>
      <w:r w:rsidRPr="002F303F">
        <w:rPr>
          <w:color w:val="auto"/>
          <w:sz w:val="12"/>
          <w:szCs w:val="12"/>
        </w:rPr>
        <w:t>switch</w:t>
      </w:r>
      <w:proofErr w:type="spellEnd"/>
      <w:r w:rsidRPr="002F303F">
        <w:rPr>
          <w:color w:val="auto"/>
          <w:sz w:val="12"/>
          <w:szCs w:val="12"/>
        </w:rPr>
        <w:t xml:space="preserve">), la data della lettura di cambio fornitore. </w:t>
      </w:r>
    </w:p>
    <w:p w:rsidR="00747FC7" w:rsidRPr="002F303F" w:rsidRDefault="00747FC7" w:rsidP="003D43ED">
      <w:pPr>
        <w:pStyle w:val="Default"/>
        <w:jc w:val="both"/>
        <w:rPr>
          <w:color w:val="auto"/>
          <w:sz w:val="12"/>
          <w:szCs w:val="12"/>
        </w:rPr>
      </w:pPr>
      <w:r w:rsidRPr="002F303F">
        <w:rPr>
          <w:color w:val="auto"/>
          <w:sz w:val="12"/>
          <w:szCs w:val="12"/>
        </w:rPr>
        <w:t xml:space="preserve">Limitatamente al caso sub c), qualora al momento della richiesta di cambio fornitore il contatore risulti chiuso a seguito della sospensione della fornitura per morosità con altra impresa di vendita, NEBRODI GAS VENDITA S.R.L. si riserva sin da ora la facoltà di revocare la richiesta di accesso alla rete di distribuzione e non dare esecuzione al contratto che si intenderà pertanto risolto automaticamente. In caso di attivazione della fornitura di un impianto di utenza nuovo, NEBRODI GAS VENDITA S.R.L. provvederà a richiedere l’attivazione al distributore nei termini e con le modalità di cui all’art. 16 della delibera </w:t>
      </w:r>
      <w:r w:rsidR="00A577B9" w:rsidRPr="002F303F">
        <w:rPr>
          <w:color w:val="auto"/>
          <w:sz w:val="12"/>
          <w:szCs w:val="12"/>
        </w:rPr>
        <w:t>ARERA</w:t>
      </w:r>
      <w:r w:rsidR="00BA4B2F" w:rsidRPr="002F303F">
        <w:rPr>
          <w:color w:val="auto"/>
          <w:sz w:val="12"/>
          <w:szCs w:val="12"/>
        </w:rPr>
        <w:t xml:space="preserve"> n. 40/1</w:t>
      </w:r>
      <w:r w:rsidRPr="002F303F">
        <w:rPr>
          <w:color w:val="auto"/>
          <w:sz w:val="12"/>
          <w:szCs w:val="12"/>
        </w:rPr>
        <w:t xml:space="preserve">4 e </w:t>
      </w:r>
      <w:proofErr w:type="spellStart"/>
      <w:r w:rsidRPr="002F303F">
        <w:rPr>
          <w:color w:val="auto"/>
          <w:sz w:val="12"/>
          <w:szCs w:val="12"/>
        </w:rPr>
        <w:t>s.m.i</w:t>
      </w:r>
      <w:proofErr w:type="spellEnd"/>
      <w:r w:rsidRPr="002F303F">
        <w:rPr>
          <w:color w:val="auto"/>
          <w:sz w:val="12"/>
          <w:szCs w:val="12"/>
        </w:rPr>
        <w:t xml:space="preserve">, </w:t>
      </w:r>
      <w:r w:rsidR="005716D7" w:rsidRPr="002F303F">
        <w:rPr>
          <w:color w:val="auto"/>
          <w:sz w:val="12"/>
          <w:szCs w:val="12"/>
        </w:rPr>
        <w:t xml:space="preserve">del 06/02/2014, </w:t>
      </w:r>
      <w:r w:rsidRPr="002F303F">
        <w:rPr>
          <w:color w:val="auto"/>
          <w:sz w:val="12"/>
          <w:szCs w:val="12"/>
        </w:rPr>
        <w:t>recante l’adozione del regolamento delle attività di accertamento della sicurezza degli impia</w:t>
      </w:r>
      <w:r w:rsidR="003F6583" w:rsidRPr="002F303F">
        <w:rPr>
          <w:color w:val="auto"/>
          <w:sz w:val="12"/>
          <w:szCs w:val="12"/>
        </w:rPr>
        <w:t>nti di utenza a gas</w:t>
      </w:r>
      <w:r w:rsidRPr="002F303F">
        <w:rPr>
          <w:color w:val="auto"/>
          <w:sz w:val="12"/>
          <w:szCs w:val="12"/>
        </w:rPr>
        <w:t xml:space="preserve"> e come disposto nell’Allegato G</w:t>
      </w:r>
      <w:r w:rsidR="00274985" w:rsidRPr="002F303F">
        <w:rPr>
          <w:color w:val="auto"/>
          <w:sz w:val="12"/>
          <w:szCs w:val="12"/>
        </w:rPr>
        <w:t>/40</w:t>
      </w:r>
      <w:r w:rsidRPr="002F303F">
        <w:rPr>
          <w:color w:val="auto"/>
          <w:sz w:val="12"/>
          <w:szCs w:val="12"/>
        </w:rPr>
        <w:t xml:space="preserve">, parte integrante della presente proposta di contratto. </w:t>
      </w:r>
    </w:p>
    <w:p w:rsidR="00747FC7" w:rsidRPr="002F303F" w:rsidRDefault="00747FC7" w:rsidP="003D43ED">
      <w:pPr>
        <w:pStyle w:val="Default"/>
        <w:jc w:val="both"/>
        <w:rPr>
          <w:b/>
          <w:color w:val="auto"/>
          <w:sz w:val="12"/>
          <w:szCs w:val="12"/>
        </w:rPr>
      </w:pPr>
      <w:r w:rsidRPr="002F303F">
        <w:rPr>
          <w:b/>
          <w:color w:val="auto"/>
          <w:sz w:val="12"/>
          <w:szCs w:val="12"/>
        </w:rPr>
        <w:t xml:space="preserve">3) MODALITÀ DÌ CONSEGNA - UTILIZZO </w:t>
      </w:r>
    </w:p>
    <w:p w:rsidR="00747FC7" w:rsidRPr="002F303F" w:rsidRDefault="00747FC7" w:rsidP="003D43ED">
      <w:pPr>
        <w:pStyle w:val="Default"/>
        <w:jc w:val="both"/>
        <w:rPr>
          <w:color w:val="auto"/>
          <w:sz w:val="12"/>
          <w:szCs w:val="12"/>
        </w:rPr>
      </w:pPr>
      <w:r w:rsidRPr="002F303F">
        <w:rPr>
          <w:color w:val="auto"/>
          <w:sz w:val="12"/>
          <w:szCs w:val="12"/>
        </w:rPr>
        <w:t>La consegna del gas avverrà ai valori di pressione stabiliti dal distributore locale. Qualora il cliente riscontri delle non conformità, ne darà tempestiva comunicazione a NEBRODI GAS VENDITA S.R.L., che si farà carico di attivare le necessarie verifiche nei confronti del distributore locale. Il cliente dichiara e garantisce che la fornitura di cui alla presente proposta contrattuale sarà impiegata esclusivamente presso i luoghi, con le modalità e per gli usi espressamente convenuti ed indicati dal cliente alla conclusione del contratto relativo alla presente proposta contrattuale. E’ fatto specifico divieto al cliente di utilizzare la fornitura per scopi ed usi diversi da quelli quivi convenuti, nonché di trasferire, consegnare e/o rivendere a terzi, in qualsiasi modo ed a qualsiasi titolo, il Gas ricevuto. Il cliente prende atto e riconosce la pericolosità intrinseca del prodotto oggetto della presente fornitura qualora lo stesso non venga utilizzato e sfruttato secondo le vigenti normative applicabili ed attraverso le specifiche apparecchiature all’uopo omologate. In ragione di quanto sopra, il cliente si impegna ad utilizzare presso i propri locali esclusivamente attrezzature omologate, a rispettare attentamente le procedure e le norme di sicurezza disposte dalla vigente normativa o da regolamenti locali ed a far eseguire periodicamente la manutenzione di tali attrezzature da personale specializzato e qualificato. Il cliente si impegna a tenere NEBRODI GAS VE</w:t>
      </w:r>
      <w:r w:rsidR="003B6AC3" w:rsidRPr="002F303F">
        <w:rPr>
          <w:color w:val="auto"/>
          <w:sz w:val="12"/>
          <w:szCs w:val="12"/>
        </w:rPr>
        <w:t>NDITA S.R.L. indenne e manlevata</w:t>
      </w:r>
      <w:r w:rsidRPr="002F303F">
        <w:rPr>
          <w:color w:val="auto"/>
          <w:sz w:val="12"/>
          <w:szCs w:val="12"/>
        </w:rPr>
        <w:t xml:space="preserve"> da qualsivoglia danno, costo,</w:t>
      </w:r>
      <w:r w:rsidR="003B6AC3" w:rsidRPr="002F303F">
        <w:rPr>
          <w:color w:val="auto"/>
          <w:sz w:val="12"/>
          <w:szCs w:val="12"/>
        </w:rPr>
        <w:t xml:space="preserve"> spesa, sanzione od onere questa</w:t>
      </w:r>
      <w:r w:rsidRPr="002F303F">
        <w:rPr>
          <w:color w:val="auto"/>
          <w:sz w:val="12"/>
          <w:szCs w:val="12"/>
        </w:rPr>
        <w:t xml:space="preserve"> dovesse subire in conseguenza del non corretto utilizzo della fornitura da parte del cliente, ovvero della mancata conformità delle apparecchiature da quest’ultimo utilizzate o della loro mancata manutenzione. Resta inteso che il cliente non potrà alterare, manomettere, rimuovere o sostituire il contatore per la misurazione del Gas, né tanto meno le altre ulteriori apparecchiature ad esso strumentali o comunque necessarie per il prelievo del Gas. Il cliente è tenuto a comunicare tempestivamente e preventivamente a NEBRODI GAS VENDITA S.R.L. ogni modifica riguardante il tipo di utilizzo del Gas, le modalità di fornitura, la destinazione dei locali, l'eventuale cambio di ragione sociale e/o tipologia societaria e ogni altro ulteriore elemento riguardante la proposta contrattuale di fornitura. </w:t>
      </w:r>
    </w:p>
    <w:p w:rsidR="00747FC7" w:rsidRPr="002F303F" w:rsidRDefault="00747FC7" w:rsidP="003D43ED">
      <w:pPr>
        <w:pStyle w:val="Default"/>
        <w:jc w:val="both"/>
        <w:rPr>
          <w:b/>
          <w:color w:val="auto"/>
          <w:sz w:val="12"/>
          <w:szCs w:val="12"/>
        </w:rPr>
      </w:pPr>
      <w:r w:rsidRPr="002F303F">
        <w:rPr>
          <w:b/>
          <w:color w:val="auto"/>
          <w:sz w:val="12"/>
          <w:szCs w:val="12"/>
        </w:rPr>
        <w:t xml:space="preserve">4) MISURAZIONE DEI CONSUMI </w:t>
      </w:r>
    </w:p>
    <w:p w:rsidR="00751E49" w:rsidRPr="002F303F" w:rsidRDefault="00747FC7" w:rsidP="003D43ED">
      <w:pPr>
        <w:pStyle w:val="Default"/>
        <w:jc w:val="both"/>
        <w:rPr>
          <w:color w:val="auto"/>
          <w:sz w:val="12"/>
          <w:szCs w:val="12"/>
        </w:rPr>
      </w:pPr>
      <w:r w:rsidRPr="002F303F">
        <w:rPr>
          <w:color w:val="auto"/>
          <w:sz w:val="12"/>
          <w:szCs w:val="12"/>
        </w:rPr>
        <w:t xml:space="preserve">Ai fini della presente proposta contrattuale, saranno assunti come validi i dati di misura rilevati tramite le apparecchiature messe a disposizione dal distributore locale, Quale unità di misura sarà utilizzato il metro cubo alle condizioni standard, </w:t>
      </w:r>
      <w:proofErr w:type="spellStart"/>
      <w:r w:rsidRPr="002F303F">
        <w:rPr>
          <w:color w:val="auto"/>
          <w:sz w:val="12"/>
          <w:szCs w:val="12"/>
        </w:rPr>
        <w:t>smc</w:t>
      </w:r>
      <w:proofErr w:type="spellEnd"/>
      <w:r w:rsidRPr="002F303F">
        <w:rPr>
          <w:color w:val="auto"/>
          <w:sz w:val="12"/>
          <w:szCs w:val="12"/>
        </w:rPr>
        <w:t xml:space="preserve"> (temperatura di 15 °, pressione di 1,01325 bar). Per i misuratori non dotati di conversione di volumi da </w:t>
      </w:r>
      <w:proofErr w:type="spellStart"/>
      <w:r w:rsidRPr="002F303F">
        <w:rPr>
          <w:color w:val="auto"/>
          <w:sz w:val="12"/>
          <w:szCs w:val="12"/>
        </w:rPr>
        <w:t>mc</w:t>
      </w:r>
      <w:proofErr w:type="spellEnd"/>
      <w:r w:rsidRPr="002F303F">
        <w:rPr>
          <w:color w:val="auto"/>
          <w:sz w:val="12"/>
          <w:szCs w:val="12"/>
        </w:rPr>
        <w:t xml:space="preserve"> a </w:t>
      </w:r>
      <w:proofErr w:type="spellStart"/>
      <w:r w:rsidRPr="002F303F">
        <w:rPr>
          <w:color w:val="auto"/>
          <w:sz w:val="12"/>
          <w:szCs w:val="12"/>
        </w:rPr>
        <w:t>smc</w:t>
      </w:r>
      <w:proofErr w:type="spellEnd"/>
      <w:r w:rsidRPr="002F303F">
        <w:rPr>
          <w:color w:val="auto"/>
          <w:sz w:val="12"/>
          <w:szCs w:val="12"/>
        </w:rPr>
        <w:t>, questa sarà eseguita applicando il fattore di correzione C, come definito dall’</w:t>
      </w:r>
      <w:r w:rsidR="00A577B9" w:rsidRPr="002F303F">
        <w:rPr>
          <w:color w:val="auto"/>
          <w:sz w:val="12"/>
          <w:szCs w:val="12"/>
        </w:rPr>
        <w:t>ARERA</w:t>
      </w:r>
      <w:r w:rsidRPr="002F303F">
        <w:rPr>
          <w:color w:val="auto"/>
          <w:sz w:val="12"/>
          <w:szCs w:val="12"/>
        </w:rPr>
        <w:t>. La misurazione dei consumi è di competenza dell’impresa di distribuzione del gas locale, che eseguirà la lettura dei misuratori e la validazione dei dati rilevati, in conformità alle disposizioni a riguardo dettate dall’</w:t>
      </w:r>
      <w:r w:rsidR="00A577B9" w:rsidRPr="002F303F">
        <w:rPr>
          <w:color w:val="auto"/>
          <w:sz w:val="12"/>
          <w:szCs w:val="12"/>
        </w:rPr>
        <w:t>ARERA</w:t>
      </w:r>
      <w:r w:rsidRPr="002F303F">
        <w:rPr>
          <w:color w:val="auto"/>
          <w:sz w:val="12"/>
          <w:szCs w:val="12"/>
        </w:rPr>
        <w:t xml:space="preserve">. </w:t>
      </w:r>
      <w:r w:rsidR="00751E49" w:rsidRPr="002F303F">
        <w:rPr>
          <w:color w:val="auto"/>
          <w:sz w:val="12"/>
          <w:szCs w:val="12"/>
        </w:rPr>
        <w:t>Sono messe a disposizione dei clienti finali, le seguenti modalità di raccolta autolettura:</w:t>
      </w:r>
    </w:p>
    <w:p w:rsidR="00751E49" w:rsidRPr="002F303F" w:rsidRDefault="003F0D13" w:rsidP="003D43ED">
      <w:pPr>
        <w:pStyle w:val="Default"/>
        <w:jc w:val="both"/>
        <w:rPr>
          <w:color w:val="auto"/>
          <w:sz w:val="12"/>
          <w:szCs w:val="12"/>
        </w:rPr>
      </w:pPr>
      <w:r w:rsidRPr="002F303F">
        <w:rPr>
          <w:color w:val="auto"/>
          <w:sz w:val="12"/>
          <w:szCs w:val="12"/>
        </w:rPr>
        <w:t xml:space="preserve">1) </w:t>
      </w:r>
      <w:r w:rsidR="00751E49" w:rsidRPr="002F303F">
        <w:rPr>
          <w:color w:val="auto"/>
          <w:sz w:val="12"/>
          <w:szCs w:val="12"/>
        </w:rPr>
        <w:t xml:space="preserve">Telefonica al numero 0941 / 918162; </w:t>
      </w:r>
      <w:r w:rsidRPr="002F303F">
        <w:rPr>
          <w:color w:val="auto"/>
          <w:sz w:val="12"/>
          <w:szCs w:val="12"/>
        </w:rPr>
        <w:t xml:space="preserve">2) </w:t>
      </w:r>
      <w:r w:rsidR="00751E49" w:rsidRPr="002F303F">
        <w:rPr>
          <w:color w:val="auto"/>
          <w:sz w:val="12"/>
          <w:szCs w:val="12"/>
        </w:rPr>
        <w:t xml:space="preserve">Compilazione apposito modulo sul sito </w:t>
      </w:r>
      <w:hyperlink r:id="rId8" w:history="1">
        <w:r w:rsidR="00751E49" w:rsidRPr="002F303F">
          <w:rPr>
            <w:rStyle w:val="Collegamentoipertestuale"/>
            <w:color w:val="auto"/>
            <w:sz w:val="12"/>
            <w:szCs w:val="12"/>
          </w:rPr>
          <w:t>www.nebrodigasvendita.it</w:t>
        </w:r>
      </w:hyperlink>
      <w:r w:rsidR="00751E49" w:rsidRPr="002F303F">
        <w:rPr>
          <w:color w:val="auto"/>
          <w:sz w:val="12"/>
          <w:szCs w:val="12"/>
        </w:rPr>
        <w:t xml:space="preserve"> </w:t>
      </w:r>
    </w:p>
    <w:p w:rsidR="00751E49" w:rsidRPr="002F303F" w:rsidRDefault="00751E49" w:rsidP="003D43ED">
      <w:pPr>
        <w:autoSpaceDE w:val="0"/>
        <w:autoSpaceDN w:val="0"/>
        <w:adjustRightInd w:val="0"/>
        <w:jc w:val="both"/>
        <w:rPr>
          <w:sz w:val="12"/>
          <w:szCs w:val="12"/>
        </w:rPr>
      </w:pPr>
      <w:r w:rsidRPr="002F303F">
        <w:rPr>
          <w:sz w:val="12"/>
          <w:szCs w:val="12"/>
        </w:rPr>
        <w:t>La suddetta Autolettura potrà essere comunicata, sia nella finestra temporale evidenziata nell’ultima fattura ricevuta, che in qualsiasi periodo dell’anno nel caso  siano state emesse una o più fatture contabilizzanti dati di misura stimati per almeno 2 (due) mesi consecutivi. A tal proposito verrà comunicata la presa in carico o l’eventuale non presa in carico del dato di autolettura, al momento stesso dell’acquisizione del dato o entro i 4 (quattro) giorni lavorativi successivi solo nei casi in cui la modalità di raccolta resa disponibile non permetta una risposta immediata.</w:t>
      </w:r>
    </w:p>
    <w:p w:rsidR="00747FC7" w:rsidRPr="002F303F" w:rsidRDefault="00747FC7" w:rsidP="003D43ED">
      <w:pPr>
        <w:pStyle w:val="Default"/>
        <w:jc w:val="both"/>
        <w:rPr>
          <w:color w:val="auto"/>
          <w:sz w:val="12"/>
          <w:szCs w:val="12"/>
        </w:rPr>
      </w:pPr>
      <w:r w:rsidRPr="002F303F">
        <w:rPr>
          <w:color w:val="auto"/>
          <w:sz w:val="12"/>
          <w:szCs w:val="12"/>
        </w:rPr>
        <w:t xml:space="preserve">Il cliente si obbliga ad assicurare e consentire agli incaricati di NEBRODI GAS VENDITA S.R.L. e del distributore locale l’accesso al contatore di misura in qualunque momento, anche quando questo non sia accessibile, previo, ove possibile, accordo circa la data e l’ora dell’intervento. Il cliente autorizza NEBRODI GAS VENDITA S.R.L. a comunicare al distributore locale in nome e per conto proprio, i dati di consumo dalla stessa rilevati, a titolo di autolettura. Le rilevazioni dei consumi si intendono esatte entro la tolleranza di misura ammessa dalla normativa vigente. Qualora il cliente ritenesse erronee le misurazioni eseguite dal contatore, potrà richiederne il controllo a NEBRODI GAS VENDITA S.R.L., che provvederà ad attivare il distributore locale. Qualora la misura del gas venga meno, per guasti o anomalie di funzionamento accertate del contatore, NEBRODI GAS VENDITA S.R.L. si attiverà affinché il distributore locale provveda alla sostituzione dello stesso e verrà assunto quale valore di riferimento per la determinazione dei volumi quello fornito dal distributore locale. Gli eventuali errori di determinazione dei volumi derivanti da qualsiasi causa, sia in eccesso sia in difetto, daranno luogo al conguaglio degli importi erroneamente fatturati, restando inteso che non verranno comunque corrisposti interessi su tali conguagli. </w:t>
      </w:r>
    </w:p>
    <w:p w:rsidR="00A26BCF" w:rsidRPr="002F303F" w:rsidRDefault="00F0562C" w:rsidP="003D43ED">
      <w:pPr>
        <w:autoSpaceDE w:val="0"/>
        <w:autoSpaceDN w:val="0"/>
        <w:adjustRightInd w:val="0"/>
        <w:rPr>
          <w:sz w:val="12"/>
          <w:szCs w:val="12"/>
        </w:rPr>
      </w:pPr>
      <w:r w:rsidRPr="002F303F">
        <w:rPr>
          <w:sz w:val="12"/>
          <w:szCs w:val="12"/>
        </w:rPr>
        <w:t>A riguardo i misu</w:t>
      </w:r>
      <w:r w:rsidR="008D293D" w:rsidRPr="002F303F">
        <w:rPr>
          <w:sz w:val="12"/>
          <w:szCs w:val="12"/>
        </w:rPr>
        <w:t>r</w:t>
      </w:r>
      <w:r w:rsidRPr="002F303F">
        <w:rPr>
          <w:sz w:val="12"/>
          <w:szCs w:val="12"/>
        </w:rPr>
        <w:t xml:space="preserve">atori inaccessibili (Tradizionali), </w:t>
      </w:r>
      <w:r w:rsidR="00A26BCF" w:rsidRPr="002F303F">
        <w:rPr>
          <w:sz w:val="12"/>
          <w:szCs w:val="12"/>
        </w:rPr>
        <w:t xml:space="preserve">L’impresa di distribuzione è tenuta ad effettuare almeno i seguenti tentativi di raccolta della misura del gas naturale riconsegnato, espressa dal totalizzatore del gruppo di misura: </w:t>
      </w:r>
    </w:p>
    <w:p w:rsidR="00A26BCF" w:rsidRPr="002F303F" w:rsidRDefault="00A26BCF" w:rsidP="003D43ED">
      <w:pPr>
        <w:autoSpaceDE w:val="0"/>
        <w:autoSpaceDN w:val="0"/>
        <w:adjustRightInd w:val="0"/>
        <w:rPr>
          <w:sz w:val="12"/>
          <w:szCs w:val="12"/>
        </w:rPr>
      </w:pPr>
      <w:r w:rsidRPr="002F303F">
        <w:rPr>
          <w:sz w:val="12"/>
          <w:szCs w:val="12"/>
        </w:rPr>
        <w:t>a) per i punti di riconsegna con consumo annuo fino a 500 Smc/anno: 1 tentativo di raccolta l’anno, assicurando almeno</w:t>
      </w:r>
      <w:r w:rsidR="00DD0433" w:rsidRPr="002F303F">
        <w:rPr>
          <w:sz w:val="12"/>
          <w:szCs w:val="12"/>
        </w:rPr>
        <w:t xml:space="preserve"> il prelievo relativo all’80 %</w:t>
      </w:r>
    </w:p>
    <w:p w:rsidR="00A26BCF" w:rsidRPr="002F303F" w:rsidRDefault="00A26BCF" w:rsidP="003D43ED">
      <w:pPr>
        <w:autoSpaceDE w:val="0"/>
        <w:autoSpaceDN w:val="0"/>
        <w:adjustRightInd w:val="0"/>
        <w:rPr>
          <w:sz w:val="12"/>
          <w:szCs w:val="12"/>
        </w:rPr>
      </w:pPr>
      <w:r w:rsidRPr="002F303F">
        <w:rPr>
          <w:sz w:val="12"/>
          <w:szCs w:val="12"/>
        </w:rPr>
        <w:t xml:space="preserve">b) per i punti di riconsegna con consumo annuo superiore a 500 Smc/anno e fino a 1.500 Smc/anno: 2 tentativi di raccolta l’anno; </w:t>
      </w:r>
      <w:r w:rsidR="00DD0433" w:rsidRPr="002F303F">
        <w:rPr>
          <w:sz w:val="12"/>
          <w:szCs w:val="12"/>
        </w:rPr>
        <w:t>assicurando almeno il prelievo relativo all’80 %, nei periodi aprile-ottobre e novembre-marzo</w:t>
      </w:r>
    </w:p>
    <w:p w:rsidR="00A26BCF" w:rsidRPr="002F303F" w:rsidRDefault="00A26BCF" w:rsidP="003D43ED">
      <w:pPr>
        <w:autoSpaceDE w:val="0"/>
        <w:autoSpaceDN w:val="0"/>
        <w:adjustRightInd w:val="0"/>
        <w:rPr>
          <w:sz w:val="12"/>
          <w:szCs w:val="12"/>
        </w:rPr>
      </w:pPr>
      <w:r w:rsidRPr="002F303F">
        <w:rPr>
          <w:sz w:val="12"/>
          <w:szCs w:val="12"/>
        </w:rPr>
        <w:t xml:space="preserve">c) per i punti di riconsegna con consumo annuo superiore a 1.500 Smc/anno e fino a 5.000 Smc/anno: 3 tentativi di raccolta l’anno; </w:t>
      </w:r>
      <w:r w:rsidR="00DD0433" w:rsidRPr="002F303F">
        <w:rPr>
          <w:sz w:val="12"/>
          <w:szCs w:val="12"/>
        </w:rPr>
        <w:t>assicurando almeno il prelievo relativo all’80 %, nei periodi novembre-gennaio, febbraio-aprile e maggio-ottobre</w:t>
      </w:r>
    </w:p>
    <w:p w:rsidR="00A26BCF" w:rsidRPr="002F303F" w:rsidRDefault="00A26BCF" w:rsidP="003D43ED">
      <w:pPr>
        <w:autoSpaceDE w:val="0"/>
        <w:autoSpaceDN w:val="0"/>
        <w:adjustRightInd w:val="0"/>
        <w:rPr>
          <w:sz w:val="12"/>
          <w:szCs w:val="12"/>
        </w:rPr>
      </w:pPr>
      <w:r w:rsidRPr="002F303F">
        <w:rPr>
          <w:sz w:val="12"/>
          <w:szCs w:val="12"/>
        </w:rPr>
        <w:t xml:space="preserve">d) per i punti di riconsegna con consumo annuo superiore a 5.000 Smc/anno: un tentativo mensile. </w:t>
      </w:r>
      <w:r w:rsidR="00DD0433" w:rsidRPr="002F303F">
        <w:rPr>
          <w:sz w:val="12"/>
          <w:szCs w:val="12"/>
        </w:rPr>
        <w:t>assicurando almeno il prelievo relativo all’80 % ogni mese</w:t>
      </w:r>
    </w:p>
    <w:p w:rsidR="00D90BA6" w:rsidRPr="002F303F" w:rsidRDefault="00F0562C" w:rsidP="003D43ED">
      <w:pPr>
        <w:autoSpaceDE w:val="0"/>
        <w:autoSpaceDN w:val="0"/>
        <w:adjustRightInd w:val="0"/>
        <w:rPr>
          <w:sz w:val="12"/>
          <w:szCs w:val="12"/>
        </w:rPr>
      </w:pPr>
      <w:r w:rsidRPr="002F303F">
        <w:rPr>
          <w:sz w:val="12"/>
          <w:szCs w:val="12"/>
        </w:rPr>
        <w:t>A riguardo i misu</w:t>
      </w:r>
      <w:r w:rsidR="0084565A" w:rsidRPr="002F303F">
        <w:rPr>
          <w:sz w:val="12"/>
          <w:szCs w:val="12"/>
        </w:rPr>
        <w:t>r</w:t>
      </w:r>
      <w:r w:rsidRPr="002F303F">
        <w:rPr>
          <w:sz w:val="12"/>
          <w:szCs w:val="12"/>
        </w:rPr>
        <w:t xml:space="preserve">atori inaccessibili (Tradizionali), </w:t>
      </w:r>
      <w:r w:rsidR="00D90BA6" w:rsidRPr="002F303F">
        <w:rPr>
          <w:sz w:val="12"/>
          <w:szCs w:val="12"/>
        </w:rPr>
        <w:t xml:space="preserve">L’impresa di distribuzione è tenuta ad effettuare: </w:t>
      </w:r>
    </w:p>
    <w:p w:rsidR="00D90BA6" w:rsidRPr="002F303F" w:rsidRDefault="00D90BA6" w:rsidP="003D43ED">
      <w:pPr>
        <w:autoSpaceDE w:val="0"/>
        <w:autoSpaceDN w:val="0"/>
        <w:adjustRightInd w:val="0"/>
        <w:rPr>
          <w:sz w:val="12"/>
          <w:szCs w:val="12"/>
        </w:rPr>
      </w:pPr>
      <w:r w:rsidRPr="002F303F">
        <w:rPr>
          <w:sz w:val="12"/>
          <w:szCs w:val="12"/>
        </w:rPr>
        <w:t xml:space="preserve">a) con riferimento ai punti di riconsegna dotati di gruppi di misura non accessibili o con accessibilità parziale, un ulteriore tentativo di lettura, nel caso di almeno due tentativi di lettura falliti consecutivi e di assenza di autoletture validate, al più tardi nel mese successivo a quello nel quale il secondo tentativo è andato fallito, anche prendendo in considerazione fasce orarie diverse da quelle nelle quali viene solitamente pianificato il passaggio del personale; </w:t>
      </w:r>
    </w:p>
    <w:p w:rsidR="00D90BA6" w:rsidRPr="002F303F" w:rsidRDefault="00835C20" w:rsidP="003D43ED">
      <w:pPr>
        <w:pStyle w:val="Default"/>
        <w:jc w:val="both"/>
        <w:rPr>
          <w:color w:val="auto"/>
          <w:sz w:val="12"/>
          <w:szCs w:val="12"/>
        </w:rPr>
      </w:pPr>
      <w:r w:rsidRPr="002F303F">
        <w:rPr>
          <w:color w:val="auto"/>
          <w:sz w:val="12"/>
          <w:szCs w:val="12"/>
        </w:rPr>
        <w:t>In caso di tentativo di raccolta della misura non andato a buon fine, l’impresa di distribuzione è tenuta a informare il cliente finale dell’eventuale possibilità dell’autolettura, rilasciando una nota informativa cartacea</w:t>
      </w:r>
    </w:p>
    <w:p w:rsidR="00747FC7" w:rsidRPr="002F303F" w:rsidRDefault="00747FC7" w:rsidP="003D43ED">
      <w:pPr>
        <w:pStyle w:val="Default"/>
        <w:tabs>
          <w:tab w:val="left" w:pos="4962"/>
        </w:tabs>
        <w:jc w:val="both"/>
        <w:rPr>
          <w:color w:val="auto"/>
          <w:sz w:val="12"/>
          <w:szCs w:val="12"/>
        </w:rPr>
      </w:pPr>
      <w:r w:rsidRPr="002F303F">
        <w:rPr>
          <w:color w:val="auto"/>
          <w:sz w:val="12"/>
          <w:szCs w:val="12"/>
        </w:rPr>
        <w:t xml:space="preserve">In caso di mancata lettura del contatore, NEBRODI GAS VENDITA S.R.L. darà comunicazione al cliente in fattura, menzionando altresì le cause che non hanno consentito la lettura. Nel caso di contatore sito nella proprietà privata del cliente, laddove il tentativo di lettura non sia andato a buon fine per impossibilità di accesso alla </w:t>
      </w:r>
      <w:r w:rsidRPr="002F303F">
        <w:rPr>
          <w:color w:val="auto"/>
          <w:sz w:val="12"/>
          <w:szCs w:val="12"/>
        </w:rPr>
        <w:lastRenderedPageBreak/>
        <w:t xml:space="preserve">medesima, NEBRODI GAS VENDITA S.R.L., successivamente all'invio della comunicazione summenzionata e in caso di perdurante diniego di accesso alla proprietà privata da parte del cliente, potrà chiedere al distributore locale la sospensione della fornitura, ai sensi del successivo art. 7. Le spese di tale sospensione e di eventuale riattivazione sono a carico del cliente. </w:t>
      </w:r>
    </w:p>
    <w:p w:rsidR="00747FC7" w:rsidRPr="002F303F" w:rsidRDefault="00747FC7" w:rsidP="003D43ED">
      <w:pPr>
        <w:pStyle w:val="Default"/>
        <w:jc w:val="both"/>
        <w:rPr>
          <w:b/>
          <w:color w:val="auto"/>
          <w:sz w:val="12"/>
          <w:szCs w:val="12"/>
        </w:rPr>
      </w:pPr>
      <w:r w:rsidRPr="002F303F">
        <w:rPr>
          <w:b/>
          <w:color w:val="auto"/>
          <w:sz w:val="12"/>
          <w:szCs w:val="12"/>
        </w:rPr>
        <w:t xml:space="preserve">5) ONERI E GARANZIE A CARICO DEL CLIENTE </w:t>
      </w:r>
    </w:p>
    <w:p w:rsidR="00747FC7" w:rsidRPr="002F303F" w:rsidRDefault="00747FC7" w:rsidP="003D43ED">
      <w:pPr>
        <w:pStyle w:val="Default"/>
        <w:jc w:val="both"/>
        <w:rPr>
          <w:color w:val="auto"/>
          <w:sz w:val="12"/>
          <w:szCs w:val="12"/>
        </w:rPr>
      </w:pPr>
      <w:r w:rsidRPr="002F303F">
        <w:rPr>
          <w:color w:val="auto"/>
          <w:sz w:val="12"/>
          <w:szCs w:val="12"/>
        </w:rPr>
        <w:t>Per la somministrazione di gas naturale, a garanzia delle obbligazioni derivanti dal contratto, la società fatturerà al cliente a titolo di deposito cauzionale l’ammontare indicato nella richiesta di somministrazione gas e corrispondente a quanto previsto dall’</w:t>
      </w:r>
      <w:r w:rsidR="00A577B9" w:rsidRPr="002F303F">
        <w:rPr>
          <w:color w:val="auto"/>
          <w:sz w:val="12"/>
          <w:szCs w:val="12"/>
        </w:rPr>
        <w:t>ARERA</w:t>
      </w:r>
      <w:r w:rsidRPr="002F303F">
        <w:rPr>
          <w:color w:val="auto"/>
          <w:sz w:val="12"/>
          <w:szCs w:val="12"/>
        </w:rPr>
        <w:t xml:space="preserve"> dal TIVG.</w:t>
      </w:r>
    </w:p>
    <w:p w:rsidR="00747FC7" w:rsidRPr="002F303F" w:rsidRDefault="00747FC7" w:rsidP="003D43ED">
      <w:pPr>
        <w:pStyle w:val="Default"/>
        <w:jc w:val="both"/>
        <w:rPr>
          <w:color w:val="auto"/>
          <w:sz w:val="12"/>
          <w:szCs w:val="12"/>
        </w:rPr>
      </w:pPr>
      <w:r w:rsidRPr="002F303F">
        <w:rPr>
          <w:color w:val="auto"/>
          <w:sz w:val="12"/>
          <w:szCs w:val="12"/>
        </w:rPr>
        <w:t xml:space="preserve">Il suddetto deposito cauzionale non supererà: </w:t>
      </w:r>
    </w:p>
    <w:p w:rsidR="00747FC7" w:rsidRPr="002F303F" w:rsidRDefault="00747FC7" w:rsidP="003D43ED">
      <w:pPr>
        <w:pStyle w:val="Default"/>
        <w:rPr>
          <w:color w:val="auto"/>
          <w:sz w:val="12"/>
          <w:szCs w:val="12"/>
        </w:rPr>
      </w:pPr>
    </w:p>
    <w:p w:rsidR="00747FC7" w:rsidRPr="002F303F" w:rsidRDefault="00747FC7" w:rsidP="003D43ED">
      <w:pPr>
        <w:pStyle w:val="Default"/>
        <w:jc w:val="both"/>
        <w:rPr>
          <w:color w:val="auto"/>
          <w:sz w:val="12"/>
          <w:szCs w:val="12"/>
        </w:rPr>
      </w:pPr>
      <w:r w:rsidRPr="002F303F">
        <w:rPr>
          <w:color w:val="auto"/>
          <w:sz w:val="12"/>
          <w:szCs w:val="12"/>
        </w:rPr>
        <w:t xml:space="preserve">L’ammontare del deposito cauzionale applicato dall’esercente la vendita ai sensi dell’articolo 11 della deliberazione n. 229/01, con riferimento al servizio di tutela, è determinato secondo i livelli di cui: </w:t>
      </w:r>
    </w:p>
    <w:p w:rsidR="00747FC7" w:rsidRPr="002F303F" w:rsidRDefault="00747FC7" w:rsidP="003D43ED">
      <w:pPr>
        <w:pStyle w:val="Default"/>
        <w:jc w:val="both"/>
        <w:rPr>
          <w:color w:val="auto"/>
          <w:sz w:val="12"/>
          <w:szCs w:val="12"/>
        </w:rPr>
      </w:pPr>
      <w:r w:rsidRPr="002F303F">
        <w:rPr>
          <w:color w:val="auto"/>
          <w:sz w:val="12"/>
          <w:szCs w:val="12"/>
        </w:rPr>
        <w:t>a) alla Tabella 6, per i punti di riconsegna di cui al comma 2.3, lettera a) nella titolarità di clienti finali ai quali è riconosciuta la compensazione della spesa per la fornitura di gas naturale ai sensi della deliberazione ARG/gas 88/09;</w:t>
      </w:r>
    </w:p>
    <w:p w:rsidR="00747FC7" w:rsidRPr="002F303F" w:rsidRDefault="00747FC7" w:rsidP="003D43ED">
      <w:pPr>
        <w:pStyle w:val="Default"/>
        <w:rPr>
          <w:color w:val="auto"/>
          <w:sz w:val="12"/>
          <w:szCs w:val="12"/>
        </w:rPr>
      </w:pPr>
      <w:r w:rsidRPr="002F303F">
        <w:rPr>
          <w:color w:val="auto"/>
          <w:sz w:val="12"/>
          <w:szCs w:val="12"/>
        </w:rPr>
        <w:t xml:space="preserve">b) alla Tabella 7, in tutti i casi diversi da quelli di cui alla precedente lettera a). </w:t>
      </w:r>
    </w:p>
    <w:p w:rsidR="00747FC7" w:rsidRPr="002F303F" w:rsidRDefault="00747FC7" w:rsidP="003D43ED">
      <w:pPr>
        <w:pStyle w:val="Default"/>
        <w:jc w:val="both"/>
        <w:rPr>
          <w:color w:val="auto"/>
          <w:sz w:val="12"/>
          <w:szCs w:val="12"/>
        </w:rPr>
      </w:pPr>
    </w:p>
    <w:p w:rsidR="00747FC7" w:rsidRPr="002F303F" w:rsidRDefault="00747FC7" w:rsidP="003D43ED">
      <w:pPr>
        <w:pStyle w:val="Default"/>
        <w:jc w:val="both"/>
        <w:rPr>
          <w:color w:val="auto"/>
          <w:sz w:val="12"/>
          <w:szCs w:val="12"/>
        </w:rPr>
      </w:pPr>
      <w:r w:rsidRPr="002F303F">
        <w:rPr>
          <w:b/>
          <w:color w:val="auto"/>
          <w:sz w:val="12"/>
          <w:szCs w:val="12"/>
        </w:rPr>
        <w:t>Tabella n. 6 -</w:t>
      </w:r>
      <w:r w:rsidRPr="002F303F">
        <w:rPr>
          <w:color w:val="auto"/>
          <w:sz w:val="12"/>
          <w:szCs w:val="12"/>
        </w:rPr>
        <w:t xml:space="preserve"> Deposito cauzionale ridotto per punti di riconsegna di cui al comma 2.3, lettera a) nella titolarità di clienti finali ai quali è riconosciuta la compensazione della spesa per la fornitura di gas naturale ai sensi della deliberazione ARG/gas 88/09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09"/>
        <w:gridCol w:w="850"/>
        <w:gridCol w:w="3119"/>
      </w:tblGrid>
      <w:tr w:rsidR="00747FC7" w:rsidRPr="002F303F" w:rsidTr="0025587B">
        <w:tc>
          <w:tcPr>
            <w:tcW w:w="851" w:type="dxa"/>
            <w:vMerge w:val="restart"/>
          </w:tcPr>
          <w:p w:rsidR="00747FC7" w:rsidRPr="002F303F" w:rsidRDefault="00747FC7" w:rsidP="003D43ED">
            <w:pPr>
              <w:pStyle w:val="Default"/>
              <w:jc w:val="both"/>
              <w:rPr>
                <w:color w:val="auto"/>
                <w:sz w:val="12"/>
                <w:szCs w:val="12"/>
              </w:rPr>
            </w:pPr>
          </w:p>
          <w:p w:rsidR="00747FC7" w:rsidRPr="002F303F" w:rsidRDefault="00747FC7" w:rsidP="003D43ED">
            <w:pPr>
              <w:pStyle w:val="Default"/>
              <w:jc w:val="both"/>
              <w:rPr>
                <w:color w:val="auto"/>
                <w:sz w:val="12"/>
                <w:szCs w:val="12"/>
              </w:rPr>
            </w:pPr>
          </w:p>
        </w:tc>
        <w:tc>
          <w:tcPr>
            <w:tcW w:w="4678" w:type="dxa"/>
            <w:gridSpan w:val="3"/>
          </w:tcPr>
          <w:tbl>
            <w:tblPr>
              <w:tblW w:w="0" w:type="auto"/>
              <w:jc w:val="center"/>
              <w:tblBorders>
                <w:top w:val="nil"/>
                <w:left w:val="nil"/>
                <w:bottom w:val="nil"/>
                <w:right w:val="nil"/>
              </w:tblBorders>
              <w:tblLayout w:type="fixed"/>
              <w:tblLook w:val="0000"/>
            </w:tblPr>
            <w:tblGrid>
              <w:gridCol w:w="1590"/>
            </w:tblGrid>
            <w:tr w:rsidR="00747FC7" w:rsidRPr="002F303F" w:rsidTr="00835C20">
              <w:trPr>
                <w:trHeight w:val="159"/>
                <w:jc w:val="center"/>
              </w:trPr>
              <w:tc>
                <w:tcPr>
                  <w:tcW w:w="1590" w:type="dxa"/>
                </w:tcPr>
                <w:p w:rsidR="00747FC7" w:rsidRPr="002F303F" w:rsidRDefault="00747FC7" w:rsidP="003D43ED">
                  <w:pPr>
                    <w:pStyle w:val="Default"/>
                    <w:rPr>
                      <w:color w:val="auto"/>
                      <w:sz w:val="12"/>
                      <w:szCs w:val="12"/>
                    </w:rPr>
                  </w:pPr>
                  <w:r w:rsidRPr="002F303F">
                    <w:rPr>
                      <w:color w:val="auto"/>
                      <w:sz w:val="12"/>
                      <w:szCs w:val="12"/>
                    </w:rPr>
                    <w:t xml:space="preserve">Consumo annuo (Smc/anno) </w:t>
                  </w:r>
                </w:p>
              </w:tc>
            </w:tr>
          </w:tbl>
          <w:p w:rsidR="00747FC7" w:rsidRPr="002F303F" w:rsidRDefault="00747FC7" w:rsidP="003D43ED">
            <w:pPr>
              <w:pStyle w:val="Default"/>
              <w:jc w:val="both"/>
              <w:rPr>
                <w:color w:val="auto"/>
                <w:sz w:val="12"/>
                <w:szCs w:val="12"/>
              </w:rPr>
            </w:pPr>
          </w:p>
        </w:tc>
      </w:tr>
      <w:tr w:rsidR="00747FC7" w:rsidRPr="002F303F" w:rsidTr="0025587B">
        <w:tc>
          <w:tcPr>
            <w:tcW w:w="851" w:type="dxa"/>
            <w:vMerge/>
          </w:tcPr>
          <w:p w:rsidR="00747FC7" w:rsidRPr="002F303F" w:rsidRDefault="00747FC7" w:rsidP="003D43ED">
            <w:pPr>
              <w:pStyle w:val="Default"/>
              <w:jc w:val="both"/>
              <w:rPr>
                <w:color w:val="auto"/>
                <w:sz w:val="12"/>
                <w:szCs w:val="12"/>
              </w:rPr>
            </w:pPr>
          </w:p>
        </w:tc>
        <w:tc>
          <w:tcPr>
            <w:tcW w:w="709" w:type="dxa"/>
          </w:tcPr>
          <w:p w:rsidR="00747FC7" w:rsidRPr="002F303F" w:rsidRDefault="00747FC7" w:rsidP="003D43ED">
            <w:pPr>
              <w:pStyle w:val="Default"/>
              <w:jc w:val="center"/>
              <w:rPr>
                <w:color w:val="auto"/>
                <w:sz w:val="12"/>
                <w:szCs w:val="12"/>
              </w:rPr>
            </w:pPr>
            <w:r w:rsidRPr="002F303F">
              <w:rPr>
                <w:color w:val="auto"/>
                <w:sz w:val="12"/>
                <w:szCs w:val="12"/>
              </w:rPr>
              <w:t>&lt; 500</w:t>
            </w:r>
          </w:p>
        </w:tc>
        <w:tc>
          <w:tcPr>
            <w:tcW w:w="850" w:type="dxa"/>
          </w:tcPr>
          <w:p w:rsidR="00747FC7" w:rsidRPr="002F303F" w:rsidRDefault="00747FC7" w:rsidP="003D43ED">
            <w:pPr>
              <w:pStyle w:val="Default"/>
              <w:jc w:val="center"/>
              <w:rPr>
                <w:color w:val="auto"/>
                <w:sz w:val="12"/>
                <w:szCs w:val="12"/>
              </w:rPr>
            </w:pPr>
            <w:r w:rsidRPr="002F303F">
              <w:rPr>
                <w:color w:val="auto"/>
                <w:sz w:val="12"/>
                <w:szCs w:val="12"/>
              </w:rPr>
              <w:t>Fino a 5.000</w:t>
            </w:r>
          </w:p>
        </w:tc>
        <w:tc>
          <w:tcPr>
            <w:tcW w:w="3119" w:type="dxa"/>
          </w:tcPr>
          <w:p w:rsidR="00747FC7" w:rsidRPr="002F303F" w:rsidRDefault="00747FC7" w:rsidP="003D43ED">
            <w:pPr>
              <w:pStyle w:val="Default"/>
              <w:jc w:val="center"/>
              <w:rPr>
                <w:color w:val="auto"/>
                <w:sz w:val="12"/>
                <w:szCs w:val="12"/>
              </w:rPr>
            </w:pPr>
            <w:r w:rsidRPr="002F303F">
              <w:rPr>
                <w:color w:val="auto"/>
                <w:sz w:val="12"/>
                <w:szCs w:val="12"/>
              </w:rPr>
              <w:t>&gt; 5.000</w:t>
            </w:r>
          </w:p>
        </w:tc>
      </w:tr>
      <w:tr w:rsidR="00747FC7" w:rsidRPr="002F303F" w:rsidTr="0025587B">
        <w:trPr>
          <w:trHeight w:val="317"/>
        </w:trPr>
        <w:tc>
          <w:tcPr>
            <w:tcW w:w="851" w:type="dxa"/>
          </w:tcPr>
          <w:tbl>
            <w:tblPr>
              <w:tblW w:w="0" w:type="auto"/>
              <w:tblBorders>
                <w:top w:val="nil"/>
                <w:left w:val="nil"/>
                <w:bottom w:val="nil"/>
                <w:right w:val="nil"/>
              </w:tblBorders>
              <w:tblLayout w:type="fixed"/>
              <w:tblLook w:val="0000"/>
            </w:tblPr>
            <w:tblGrid>
              <w:gridCol w:w="885"/>
            </w:tblGrid>
            <w:tr w:rsidR="00747FC7" w:rsidRPr="002F303F" w:rsidTr="00835C20">
              <w:trPr>
                <w:trHeight w:val="297"/>
              </w:trPr>
              <w:tc>
                <w:tcPr>
                  <w:tcW w:w="885" w:type="dxa"/>
                </w:tcPr>
                <w:p w:rsidR="00747FC7" w:rsidRPr="002F303F" w:rsidRDefault="009C3437" w:rsidP="003D43ED">
                  <w:pPr>
                    <w:pStyle w:val="Default"/>
                    <w:ind w:right="-74"/>
                    <w:rPr>
                      <w:b/>
                      <w:color w:val="auto"/>
                      <w:sz w:val="12"/>
                      <w:szCs w:val="12"/>
                    </w:rPr>
                  </w:pPr>
                  <w:r w:rsidRPr="002F303F">
                    <w:rPr>
                      <w:b/>
                      <w:color w:val="auto"/>
                      <w:sz w:val="12"/>
                      <w:szCs w:val="12"/>
                    </w:rPr>
                    <w:t>D</w:t>
                  </w:r>
                  <w:r w:rsidR="00747FC7" w:rsidRPr="002F303F">
                    <w:rPr>
                      <w:b/>
                      <w:color w:val="auto"/>
                      <w:sz w:val="12"/>
                      <w:szCs w:val="12"/>
                    </w:rPr>
                    <w:t xml:space="preserve">eposito cauzionale </w:t>
                  </w:r>
                </w:p>
              </w:tc>
            </w:tr>
          </w:tbl>
          <w:p w:rsidR="00747FC7" w:rsidRPr="002F303F" w:rsidRDefault="00747FC7" w:rsidP="003D43ED">
            <w:pPr>
              <w:pStyle w:val="Default"/>
              <w:jc w:val="both"/>
              <w:rPr>
                <w:color w:val="auto"/>
                <w:sz w:val="12"/>
                <w:szCs w:val="12"/>
              </w:rPr>
            </w:pPr>
          </w:p>
        </w:tc>
        <w:tc>
          <w:tcPr>
            <w:tcW w:w="709" w:type="dxa"/>
          </w:tcPr>
          <w:p w:rsidR="00747FC7" w:rsidRPr="002F303F" w:rsidRDefault="00747FC7" w:rsidP="003D43ED">
            <w:pPr>
              <w:pStyle w:val="Default"/>
              <w:jc w:val="center"/>
              <w:rPr>
                <w:color w:val="auto"/>
                <w:sz w:val="12"/>
                <w:szCs w:val="12"/>
              </w:rPr>
            </w:pPr>
            <w:r w:rsidRPr="002F303F">
              <w:rPr>
                <w:color w:val="auto"/>
                <w:sz w:val="12"/>
                <w:szCs w:val="12"/>
              </w:rPr>
              <w:t>€ 25,00</w:t>
            </w:r>
          </w:p>
        </w:tc>
        <w:tc>
          <w:tcPr>
            <w:tcW w:w="850" w:type="dxa"/>
          </w:tcPr>
          <w:p w:rsidR="00747FC7" w:rsidRPr="002F303F" w:rsidRDefault="00747FC7" w:rsidP="003D43ED">
            <w:pPr>
              <w:pStyle w:val="Default"/>
              <w:jc w:val="center"/>
              <w:rPr>
                <w:color w:val="auto"/>
                <w:sz w:val="12"/>
                <w:szCs w:val="12"/>
              </w:rPr>
            </w:pPr>
            <w:r w:rsidRPr="002F303F">
              <w:rPr>
                <w:color w:val="auto"/>
                <w:sz w:val="12"/>
                <w:szCs w:val="12"/>
              </w:rPr>
              <w:t>€ 77,00</w:t>
            </w:r>
          </w:p>
        </w:tc>
        <w:tc>
          <w:tcPr>
            <w:tcW w:w="3119" w:type="dxa"/>
          </w:tcPr>
          <w:tbl>
            <w:tblPr>
              <w:tblW w:w="0" w:type="auto"/>
              <w:tblBorders>
                <w:top w:val="nil"/>
                <w:left w:val="nil"/>
                <w:bottom w:val="nil"/>
                <w:right w:val="nil"/>
              </w:tblBorders>
              <w:tblLayout w:type="fixed"/>
              <w:tblLook w:val="0000"/>
            </w:tblPr>
            <w:tblGrid>
              <w:gridCol w:w="2585"/>
            </w:tblGrid>
            <w:tr w:rsidR="00747FC7" w:rsidRPr="002F303F" w:rsidTr="009C3437">
              <w:trPr>
                <w:trHeight w:val="398"/>
              </w:trPr>
              <w:tc>
                <w:tcPr>
                  <w:tcW w:w="2585" w:type="dxa"/>
                </w:tcPr>
                <w:p w:rsidR="00747FC7" w:rsidRPr="002F303F" w:rsidRDefault="00747FC7" w:rsidP="003D43ED">
                  <w:pPr>
                    <w:pStyle w:val="Default"/>
                    <w:rPr>
                      <w:color w:val="auto"/>
                      <w:sz w:val="22"/>
                      <w:szCs w:val="22"/>
                    </w:rPr>
                  </w:pPr>
                  <w:r w:rsidRPr="002F303F">
                    <w:rPr>
                      <w:color w:val="auto"/>
                      <w:sz w:val="12"/>
                      <w:szCs w:val="12"/>
                    </w:rPr>
                    <w:t>valore di</w:t>
                  </w:r>
                  <w:r w:rsidR="009C3437" w:rsidRPr="002F303F">
                    <w:rPr>
                      <w:color w:val="auto"/>
                      <w:sz w:val="12"/>
                      <w:szCs w:val="12"/>
                    </w:rPr>
                    <w:t xml:space="preserve"> una mensilità di consumo medio </w:t>
                  </w:r>
                  <w:r w:rsidRPr="002F303F">
                    <w:rPr>
                      <w:color w:val="auto"/>
                      <w:sz w:val="12"/>
                      <w:szCs w:val="12"/>
                    </w:rPr>
                    <w:t>annuo attribu</w:t>
                  </w:r>
                  <w:r w:rsidR="009C3437" w:rsidRPr="002F303F">
                    <w:rPr>
                      <w:color w:val="auto"/>
                      <w:sz w:val="12"/>
                      <w:szCs w:val="12"/>
                    </w:rPr>
                    <w:t xml:space="preserve">ibile al cliente al netto delle </w:t>
                  </w:r>
                  <w:r w:rsidRPr="002F303F">
                    <w:rPr>
                      <w:color w:val="auto"/>
                      <w:sz w:val="12"/>
                      <w:szCs w:val="12"/>
                    </w:rPr>
                    <w:t xml:space="preserve">imposte </w:t>
                  </w:r>
                </w:p>
              </w:tc>
            </w:tr>
          </w:tbl>
          <w:p w:rsidR="00747FC7" w:rsidRPr="002F303F" w:rsidRDefault="00747FC7" w:rsidP="003D43ED">
            <w:pPr>
              <w:pStyle w:val="Default"/>
              <w:jc w:val="both"/>
              <w:rPr>
                <w:color w:val="auto"/>
                <w:sz w:val="12"/>
                <w:szCs w:val="12"/>
              </w:rPr>
            </w:pPr>
          </w:p>
        </w:tc>
      </w:tr>
    </w:tbl>
    <w:p w:rsidR="00747FC7" w:rsidRPr="002F303F" w:rsidRDefault="00747FC7" w:rsidP="003D43ED">
      <w:pPr>
        <w:pStyle w:val="Default"/>
        <w:rPr>
          <w:color w:val="auto"/>
          <w:sz w:val="12"/>
          <w:szCs w:val="12"/>
        </w:rPr>
      </w:pPr>
    </w:p>
    <w:p w:rsidR="00747FC7" w:rsidRPr="002F303F" w:rsidRDefault="00747FC7" w:rsidP="003D43ED">
      <w:pPr>
        <w:pStyle w:val="Default"/>
        <w:jc w:val="both"/>
        <w:rPr>
          <w:color w:val="auto"/>
          <w:sz w:val="12"/>
          <w:szCs w:val="12"/>
        </w:rPr>
      </w:pPr>
      <w:r w:rsidRPr="002F303F">
        <w:rPr>
          <w:b/>
          <w:color w:val="auto"/>
          <w:sz w:val="12"/>
          <w:szCs w:val="12"/>
        </w:rPr>
        <w:t>Tabella n. 7 -</w:t>
      </w:r>
      <w:r w:rsidRPr="002F303F">
        <w:rPr>
          <w:color w:val="auto"/>
          <w:sz w:val="12"/>
          <w:szCs w:val="12"/>
        </w:rPr>
        <w:t xml:space="preserve"> Deposito cauzionale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567"/>
        <w:gridCol w:w="851"/>
        <w:gridCol w:w="850"/>
        <w:gridCol w:w="851"/>
        <w:gridCol w:w="1701"/>
      </w:tblGrid>
      <w:tr w:rsidR="00747FC7" w:rsidRPr="002F303F" w:rsidTr="0025587B">
        <w:tc>
          <w:tcPr>
            <w:tcW w:w="709" w:type="dxa"/>
            <w:vMerge w:val="restart"/>
          </w:tcPr>
          <w:p w:rsidR="00747FC7" w:rsidRPr="002F303F" w:rsidRDefault="00747FC7" w:rsidP="003D43ED">
            <w:pPr>
              <w:pStyle w:val="Default"/>
              <w:jc w:val="both"/>
              <w:rPr>
                <w:color w:val="auto"/>
                <w:sz w:val="12"/>
                <w:szCs w:val="12"/>
              </w:rPr>
            </w:pPr>
          </w:p>
        </w:tc>
        <w:tc>
          <w:tcPr>
            <w:tcW w:w="4820" w:type="dxa"/>
            <w:gridSpan w:val="5"/>
          </w:tcPr>
          <w:p w:rsidR="00747FC7" w:rsidRPr="002F303F" w:rsidRDefault="00747FC7" w:rsidP="003D43ED">
            <w:pPr>
              <w:pStyle w:val="Default"/>
              <w:jc w:val="center"/>
              <w:rPr>
                <w:color w:val="auto"/>
                <w:sz w:val="12"/>
                <w:szCs w:val="12"/>
              </w:rPr>
            </w:pPr>
            <w:r w:rsidRPr="002F303F">
              <w:rPr>
                <w:color w:val="auto"/>
                <w:sz w:val="12"/>
                <w:szCs w:val="12"/>
              </w:rPr>
              <w:t>Consumo annuo (Smc/anno)</w:t>
            </w:r>
          </w:p>
        </w:tc>
      </w:tr>
      <w:tr w:rsidR="00747FC7" w:rsidRPr="002F303F" w:rsidTr="000D0F3F">
        <w:tc>
          <w:tcPr>
            <w:tcW w:w="709" w:type="dxa"/>
            <w:vMerge/>
          </w:tcPr>
          <w:p w:rsidR="00747FC7" w:rsidRPr="002F303F" w:rsidRDefault="00747FC7" w:rsidP="003D43ED">
            <w:pPr>
              <w:pStyle w:val="Default"/>
              <w:jc w:val="both"/>
              <w:rPr>
                <w:color w:val="auto"/>
                <w:sz w:val="12"/>
                <w:szCs w:val="12"/>
              </w:rPr>
            </w:pPr>
          </w:p>
        </w:tc>
        <w:tc>
          <w:tcPr>
            <w:tcW w:w="567" w:type="dxa"/>
          </w:tcPr>
          <w:p w:rsidR="00747FC7" w:rsidRPr="002F303F" w:rsidRDefault="00747FC7" w:rsidP="003D43ED">
            <w:pPr>
              <w:pStyle w:val="Default"/>
              <w:jc w:val="center"/>
              <w:rPr>
                <w:color w:val="auto"/>
                <w:sz w:val="12"/>
                <w:szCs w:val="12"/>
              </w:rPr>
            </w:pPr>
            <w:r w:rsidRPr="002F303F">
              <w:rPr>
                <w:color w:val="auto"/>
                <w:sz w:val="12"/>
                <w:szCs w:val="12"/>
              </w:rPr>
              <w:t>&lt; 500</w:t>
            </w:r>
          </w:p>
        </w:tc>
        <w:tc>
          <w:tcPr>
            <w:tcW w:w="851" w:type="dxa"/>
          </w:tcPr>
          <w:p w:rsidR="00747FC7" w:rsidRPr="002F303F" w:rsidRDefault="00747FC7" w:rsidP="003D43ED">
            <w:pPr>
              <w:pStyle w:val="Default"/>
              <w:jc w:val="center"/>
              <w:rPr>
                <w:color w:val="auto"/>
                <w:sz w:val="12"/>
                <w:szCs w:val="12"/>
              </w:rPr>
            </w:pPr>
            <w:r w:rsidRPr="002F303F">
              <w:rPr>
                <w:color w:val="auto"/>
                <w:sz w:val="12"/>
                <w:szCs w:val="12"/>
              </w:rPr>
              <w:t>Fino a 1.500</w:t>
            </w:r>
          </w:p>
        </w:tc>
        <w:tc>
          <w:tcPr>
            <w:tcW w:w="850" w:type="dxa"/>
          </w:tcPr>
          <w:p w:rsidR="00747FC7" w:rsidRPr="002F303F" w:rsidRDefault="00747FC7" w:rsidP="003D43ED">
            <w:pPr>
              <w:pStyle w:val="Default"/>
              <w:jc w:val="center"/>
              <w:rPr>
                <w:color w:val="auto"/>
                <w:sz w:val="12"/>
                <w:szCs w:val="12"/>
              </w:rPr>
            </w:pPr>
            <w:r w:rsidRPr="002F303F">
              <w:rPr>
                <w:color w:val="auto"/>
                <w:sz w:val="12"/>
                <w:szCs w:val="12"/>
              </w:rPr>
              <w:t>Fino a 2.500</w:t>
            </w:r>
          </w:p>
        </w:tc>
        <w:tc>
          <w:tcPr>
            <w:tcW w:w="851" w:type="dxa"/>
          </w:tcPr>
          <w:p w:rsidR="00747FC7" w:rsidRPr="002F303F" w:rsidRDefault="00747FC7" w:rsidP="003D43ED">
            <w:pPr>
              <w:pStyle w:val="Default"/>
              <w:jc w:val="center"/>
              <w:rPr>
                <w:color w:val="auto"/>
                <w:sz w:val="12"/>
                <w:szCs w:val="12"/>
              </w:rPr>
            </w:pPr>
            <w:r w:rsidRPr="002F303F">
              <w:rPr>
                <w:color w:val="auto"/>
                <w:sz w:val="12"/>
                <w:szCs w:val="12"/>
              </w:rPr>
              <w:t>Fino a 5.000</w:t>
            </w:r>
          </w:p>
        </w:tc>
        <w:tc>
          <w:tcPr>
            <w:tcW w:w="1701" w:type="dxa"/>
          </w:tcPr>
          <w:p w:rsidR="00747FC7" w:rsidRPr="002F303F" w:rsidRDefault="00747FC7" w:rsidP="003D43ED">
            <w:pPr>
              <w:pStyle w:val="Default"/>
              <w:jc w:val="both"/>
              <w:rPr>
                <w:color w:val="auto"/>
                <w:sz w:val="12"/>
                <w:szCs w:val="12"/>
              </w:rPr>
            </w:pPr>
            <w:r w:rsidRPr="002F303F">
              <w:rPr>
                <w:color w:val="auto"/>
                <w:sz w:val="12"/>
                <w:szCs w:val="12"/>
              </w:rPr>
              <w:t>&gt; 5.000</w:t>
            </w:r>
          </w:p>
        </w:tc>
      </w:tr>
      <w:tr w:rsidR="00747FC7" w:rsidRPr="002F303F" w:rsidTr="000D0F3F">
        <w:tc>
          <w:tcPr>
            <w:tcW w:w="709" w:type="dxa"/>
          </w:tcPr>
          <w:p w:rsidR="00747FC7" w:rsidRPr="002F303F" w:rsidRDefault="00747FC7" w:rsidP="003D43ED">
            <w:pPr>
              <w:pStyle w:val="Default"/>
              <w:jc w:val="both"/>
              <w:rPr>
                <w:color w:val="auto"/>
                <w:sz w:val="12"/>
                <w:szCs w:val="12"/>
              </w:rPr>
            </w:pPr>
            <w:r w:rsidRPr="002F303F">
              <w:rPr>
                <w:b/>
                <w:color w:val="auto"/>
                <w:sz w:val="12"/>
                <w:szCs w:val="12"/>
              </w:rPr>
              <w:t xml:space="preserve">Livello deposito </w:t>
            </w:r>
            <w:proofErr w:type="spellStart"/>
            <w:r w:rsidRPr="002F303F">
              <w:rPr>
                <w:b/>
                <w:color w:val="auto"/>
                <w:sz w:val="12"/>
                <w:szCs w:val="12"/>
              </w:rPr>
              <w:t>cauz</w:t>
            </w:r>
            <w:proofErr w:type="spellEnd"/>
            <w:r w:rsidRPr="002F303F">
              <w:rPr>
                <w:b/>
                <w:color w:val="auto"/>
                <w:sz w:val="12"/>
                <w:szCs w:val="12"/>
              </w:rPr>
              <w:t>.(€)</w:t>
            </w:r>
          </w:p>
        </w:tc>
        <w:tc>
          <w:tcPr>
            <w:tcW w:w="567" w:type="dxa"/>
          </w:tcPr>
          <w:p w:rsidR="00747FC7" w:rsidRPr="002F303F" w:rsidRDefault="00747FC7" w:rsidP="003D43ED">
            <w:pPr>
              <w:pStyle w:val="Default"/>
              <w:jc w:val="center"/>
              <w:rPr>
                <w:color w:val="auto"/>
                <w:sz w:val="12"/>
                <w:szCs w:val="12"/>
              </w:rPr>
            </w:pPr>
            <w:r w:rsidRPr="002F303F">
              <w:rPr>
                <w:color w:val="auto"/>
                <w:sz w:val="12"/>
                <w:szCs w:val="12"/>
              </w:rPr>
              <w:t>€ 30,00</w:t>
            </w:r>
          </w:p>
        </w:tc>
        <w:tc>
          <w:tcPr>
            <w:tcW w:w="851" w:type="dxa"/>
          </w:tcPr>
          <w:p w:rsidR="00747FC7" w:rsidRPr="002F303F" w:rsidRDefault="00747FC7" w:rsidP="003D43ED">
            <w:pPr>
              <w:pStyle w:val="Default"/>
              <w:jc w:val="center"/>
              <w:rPr>
                <w:color w:val="auto"/>
                <w:sz w:val="12"/>
                <w:szCs w:val="12"/>
              </w:rPr>
            </w:pPr>
            <w:r w:rsidRPr="002F303F">
              <w:rPr>
                <w:color w:val="auto"/>
                <w:sz w:val="12"/>
                <w:szCs w:val="12"/>
              </w:rPr>
              <w:t>€ 90,00</w:t>
            </w:r>
          </w:p>
        </w:tc>
        <w:tc>
          <w:tcPr>
            <w:tcW w:w="850" w:type="dxa"/>
          </w:tcPr>
          <w:p w:rsidR="00747FC7" w:rsidRPr="002F303F" w:rsidRDefault="00747FC7" w:rsidP="003D43ED">
            <w:pPr>
              <w:pStyle w:val="Default"/>
              <w:jc w:val="center"/>
              <w:rPr>
                <w:color w:val="auto"/>
                <w:sz w:val="12"/>
                <w:szCs w:val="12"/>
              </w:rPr>
            </w:pPr>
            <w:r w:rsidRPr="002F303F">
              <w:rPr>
                <w:color w:val="auto"/>
                <w:sz w:val="12"/>
                <w:szCs w:val="12"/>
              </w:rPr>
              <w:t>€ 150,00</w:t>
            </w:r>
          </w:p>
        </w:tc>
        <w:tc>
          <w:tcPr>
            <w:tcW w:w="851" w:type="dxa"/>
          </w:tcPr>
          <w:p w:rsidR="00747FC7" w:rsidRPr="002F303F" w:rsidRDefault="00747FC7" w:rsidP="003D43ED">
            <w:pPr>
              <w:pStyle w:val="Default"/>
              <w:jc w:val="center"/>
              <w:rPr>
                <w:color w:val="auto"/>
                <w:sz w:val="12"/>
                <w:szCs w:val="12"/>
              </w:rPr>
            </w:pPr>
            <w:r w:rsidRPr="002F303F">
              <w:rPr>
                <w:color w:val="auto"/>
                <w:sz w:val="12"/>
                <w:szCs w:val="12"/>
              </w:rPr>
              <w:t>€ 300,00</w:t>
            </w:r>
          </w:p>
        </w:tc>
        <w:tc>
          <w:tcPr>
            <w:tcW w:w="1701" w:type="dxa"/>
          </w:tcPr>
          <w:p w:rsidR="00747FC7" w:rsidRPr="002F303F" w:rsidRDefault="00747FC7" w:rsidP="003D43ED">
            <w:pPr>
              <w:pStyle w:val="Default"/>
              <w:jc w:val="both"/>
              <w:rPr>
                <w:color w:val="auto"/>
                <w:sz w:val="12"/>
                <w:szCs w:val="12"/>
              </w:rPr>
            </w:pPr>
            <w:r w:rsidRPr="002F303F">
              <w:rPr>
                <w:color w:val="auto"/>
                <w:sz w:val="12"/>
                <w:szCs w:val="12"/>
              </w:rPr>
              <w:t xml:space="preserve">valore di una mensilità di consumo medio annuo attribuibile al cliente al netto delle imposte </w:t>
            </w:r>
          </w:p>
        </w:tc>
      </w:tr>
    </w:tbl>
    <w:p w:rsidR="00747FC7" w:rsidRPr="002F303F" w:rsidRDefault="00747FC7" w:rsidP="003D43ED">
      <w:pPr>
        <w:pStyle w:val="Default"/>
        <w:tabs>
          <w:tab w:val="left" w:pos="4962"/>
          <w:tab w:val="left" w:pos="5812"/>
        </w:tabs>
        <w:jc w:val="both"/>
        <w:rPr>
          <w:color w:val="auto"/>
          <w:sz w:val="8"/>
          <w:szCs w:val="8"/>
        </w:rPr>
      </w:pPr>
      <w:r w:rsidRPr="002F303F">
        <w:rPr>
          <w:color w:val="auto"/>
          <w:sz w:val="12"/>
          <w:szCs w:val="12"/>
        </w:rPr>
        <w:t xml:space="preserve">Il deposito cauzionale verrà restituito non oltre 30 (trenta) giorni dalla cessazione degli effetti del contratto di vendita, maggiorato degli interessi legali. Al cliente non verrà sospesa la fornitura per un debito il cui valore sia inferiore o pari a quello del deposito cauzionale versato. In tal caso, NEBRODI GAS VENDITA S.R.L. potrà trattenere la somma versata e fatturare nuovamente l’ammontare corrispondente al deposito cauzionale nella fattura successiva. Sono considerate forme di garanzia equivalenti al deposito cauzionale altri strumenti che assicurino NEBRODI GAS VENDITA S.R.L. circa l’esatto adempimento da parte del cliente. La domiciliazione bancaria o postale della fattura è considerata forma di garanzia equivalente al deposito cauzionale per i clienti con consumi sino a 5.000 </w:t>
      </w:r>
      <w:proofErr w:type="spellStart"/>
      <w:r w:rsidRPr="002F303F">
        <w:rPr>
          <w:color w:val="auto"/>
          <w:sz w:val="12"/>
          <w:szCs w:val="12"/>
        </w:rPr>
        <w:t>smc</w:t>
      </w:r>
      <w:proofErr w:type="spellEnd"/>
      <w:r w:rsidRPr="002F303F">
        <w:rPr>
          <w:color w:val="auto"/>
          <w:sz w:val="12"/>
          <w:szCs w:val="12"/>
        </w:rPr>
        <w:t>/anno.</w:t>
      </w:r>
    </w:p>
    <w:p w:rsidR="00747FC7" w:rsidRPr="002F303F" w:rsidRDefault="00747FC7" w:rsidP="003D43ED">
      <w:pPr>
        <w:pStyle w:val="Default"/>
        <w:jc w:val="both"/>
        <w:rPr>
          <w:b/>
          <w:bCs/>
          <w:color w:val="auto"/>
          <w:sz w:val="12"/>
          <w:szCs w:val="12"/>
        </w:rPr>
      </w:pPr>
      <w:r w:rsidRPr="002F303F">
        <w:rPr>
          <w:b/>
          <w:bCs/>
          <w:color w:val="auto"/>
          <w:sz w:val="12"/>
          <w:szCs w:val="12"/>
        </w:rPr>
        <w:t xml:space="preserve">6) FATTURAZIONE, PAGAMENTI ED ERRORI DI FATTURAZIONE </w:t>
      </w:r>
    </w:p>
    <w:p w:rsidR="009612E5" w:rsidRPr="002F303F" w:rsidRDefault="009612E5" w:rsidP="003D43ED">
      <w:pPr>
        <w:pStyle w:val="Default"/>
        <w:jc w:val="both"/>
        <w:rPr>
          <w:b/>
          <w:bCs/>
          <w:color w:val="auto"/>
          <w:sz w:val="12"/>
          <w:szCs w:val="12"/>
        </w:rPr>
      </w:pPr>
      <w:r w:rsidRPr="002F303F">
        <w:rPr>
          <w:b/>
          <w:bCs/>
          <w:color w:val="auto"/>
          <w:sz w:val="12"/>
          <w:szCs w:val="12"/>
        </w:rPr>
        <w:t xml:space="preserve">La Fatturazione </w:t>
      </w:r>
      <w:r w:rsidRPr="002F303F">
        <w:rPr>
          <w:color w:val="auto"/>
          <w:sz w:val="12"/>
          <w:szCs w:val="12"/>
        </w:rPr>
        <w:t>degli importi dovuti avverrà con</w:t>
      </w:r>
      <w:r w:rsidR="003809B0" w:rsidRPr="002F303F">
        <w:rPr>
          <w:color w:val="auto"/>
          <w:sz w:val="12"/>
          <w:szCs w:val="12"/>
        </w:rPr>
        <w:t xml:space="preserve"> la seguente periodicità</w:t>
      </w:r>
      <w:r w:rsidRPr="002F303F">
        <w:rPr>
          <w:color w:val="auto"/>
          <w:sz w:val="12"/>
          <w:szCs w:val="12"/>
        </w:rPr>
        <w:t>:</w:t>
      </w:r>
    </w:p>
    <w:p w:rsidR="00651A48" w:rsidRPr="002F303F" w:rsidRDefault="00651A48" w:rsidP="003D43ED">
      <w:pPr>
        <w:pStyle w:val="Paragrafoelenco"/>
        <w:spacing w:line="276" w:lineRule="auto"/>
        <w:ind w:left="0"/>
        <w:jc w:val="both"/>
        <w:rPr>
          <w:sz w:val="12"/>
          <w:szCs w:val="12"/>
        </w:rPr>
      </w:pPr>
      <w:r w:rsidRPr="002F303F">
        <w:rPr>
          <w:sz w:val="12"/>
          <w:szCs w:val="12"/>
        </w:rPr>
        <w:t>-   ALMENO QUADRIMESTRALE</w:t>
      </w:r>
      <w:r w:rsidR="00AB0C28" w:rsidRPr="002F303F">
        <w:rPr>
          <w:sz w:val="12"/>
          <w:szCs w:val="12"/>
        </w:rPr>
        <w:t>, con consumo Inferiore a 500 Smc/anno</w:t>
      </w:r>
    </w:p>
    <w:p w:rsidR="00651A48" w:rsidRPr="002F303F" w:rsidRDefault="00651A48" w:rsidP="003D43ED">
      <w:pPr>
        <w:pStyle w:val="Paragrafoelenco"/>
        <w:spacing w:line="276" w:lineRule="auto"/>
        <w:ind w:left="0"/>
        <w:jc w:val="both"/>
        <w:rPr>
          <w:sz w:val="12"/>
          <w:szCs w:val="12"/>
        </w:rPr>
      </w:pPr>
      <w:r w:rsidRPr="002F303F">
        <w:rPr>
          <w:sz w:val="12"/>
          <w:szCs w:val="12"/>
        </w:rPr>
        <w:t>-   BI</w:t>
      </w:r>
      <w:r w:rsidR="00735DB0" w:rsidRPr="002F303F">
        <w:rPr>
          <w:sz w:val="12"/>
          <w:szCs w:val="12"/>
        </w:rPr>
        <w:t>MESTRALE</w:t>
      </w:r>
      <w:r w:rsidR="00AB0C28" w:rsidRPr="002F303F">
        <w:rPr>
          <w:sz w:val="12"/>
          <w:szCs w:val="12"/>
        </w:rPr>
        <w:t>, con consumo Tra 500 e 1.500 Smc/anno</w:t>
      </w:r>
    </w:p>
    <w:p w:rsidR="00651A48" w:rsidRPr="002F303F" w:rsidRDefault="00651A48" w:rsidP="003D43ED">
      <w:pPr>
        <w:pStyle w:val="Paragrafoelenco"/>
        <w:spacing w:line="276" w:lineRule="auto"/>
        <w:ind w:left="0"/>
        <w:jc w:val="both"/>
        <w:rPr>
          <w:sz w:val="12"/>
          <w:szCs w:val="12"/>
        </w:rPr>
      </w:pPr>
      <w:r w:rsidRPr="002F303F">
        <w:rPr>
          <w:sz w:val="12"/>
          <w:szCs w:val="12"/>
        </w:rPr>
        <w:t>-   BI</w:t>
      </w:r>
      <w:r w:rsidR="00735DB0" w:rsidRPr="002F303F">
        <w:rPr>
          <w:sz w:val="12"/>
          <w:szCs w:val="12"/>
        </w:rPr>
        <w:t>MESTRALE</w:t>
      </w:r>
      <w:r w:rsidR="00AB0C28" w:rsidRPr="002F303F">
        <w:rPr>
          <w:sz w:val="12"/>
          <w:szCs w:val="12"/>
        </w:rPr>
        <w:t>, con consumo Tra 1.500 e 5.000 Smc/anno:</w:t>
      </w:r>
    </w:p>
    <w:p w:rsidR="00651A48" w:rsidRPr="002F303F" w:rsidRDefault="00651A48" w:rsidP="003D43ED">
      <w:pPr>
        <w:pStyle w:val="Paragrafoelenco"/>
        <w:spacing w:line="276" w:lineRule="auto"/>
        <w:ind w:left="0"/>
        <w:jc w:val="both"/>
        <w:rPr>
          <w:sz w:val="12"/>
          <w:szCs w:val="12"/>
        </w:rPr>
      </w:pPr>
      <w:r w:rsidRPr="002F303F">
        <w:rPr>
          <w:sz w:val="12"/>
          <w:szCs w:val="12"/>
        </w:rPr>
        <w:t xml:space="preserve">- </w:t>
      </w:r>
      <w:r w:rsidR="00AB0C28" w:rsidRPr="002F303F">
        <w:rPr>
          <w:sz w:val="12"/>
          <w:szCs w:val="12"/>
        </w:rPr>
        <w:t xml:space="preserve"> </w:t>
      </w:r>
      <w:r w:rsidRPr="002F303F">
        <w:rPr>
          <w:sz w:val="12"/>
          <w:szCs w:val="12"/>
        </w:rPr>
        <w:t>MENSILE</w:t>
      </w:r>
      <w:r w:rsidR="00AB0C28" w:rsidRPr="002F303F">
        <w:rPr>
          <w:sz w:val="12"/>
          <w:szCs w:val="12"/>
        </w:rPr>
        <w:t>, con consumo Uguale o superiore a 5.000 Smc/anno e per i punti di riconsegna in cui è obbligatoria la lettura mensile con dettaglio giornaliero con qualsiasi livello di consumo.</w:t>
      </w:r>
    </w:p>
    <w:p w:rsidR="00651A48" w:rsidRPr="002F303F" w:rsidRDefault="00651A48" w:rsidP="003D43ED">
      <w:pPr>
        <w:spacing w:line="276" w:lineRule="auto"/>
        <w:jc w:val="both"/>
        <w:rPr>
          <w:sz w:val="12"/>
          <w:szCs w:val="12"/>
        </w:rPr>
      </w:pPr>
      <w:r w:rsidRPr="002F303F">
        <w:rPr>
          <w:sz w:val="12"/>
          <w:szCs w:val="12"/>
        </w:rPr>
        <w:t xml:space="preserve"> </w:t>
      </w:r>
      <w:r w:rsidR="00AB0C28" w:rsidRPr="002F303F">
        <w:rPr>
          <w:sz w:val="12"/>
          <w:szCs w:val="12"/>
        </w:rPr>
        <w:t>C</w:t>
      </w:r>
      <w:r w:rsidRPr="002F303F">
        <w:rPr>
          <w:sz w:val="12"/>
          <w:szCs w:val="12"/>
        </w:rPr>
        <w:t xml:space="preserve">iascuna fattura </w:t>
      </w:r>
      <w:r w:rsidR="003809B0" w:rsidRPr="002F303F">
        <w:rPr>
          <w:sz w:val="12"/>
          <w:szCs w:val="12"/>
        </w:rPr>
        <w:t>sarà</w:t>
      </w:r>
      <w:r w:rsidRPr="002F303F">
        <w:rPr>
          <w:sz w:val="12"/>
          <w:szCs w:val="12"/>
        </w:rPr>
        <w:t xml:space="preserve"> emes</w:t>
      </w:r>
      <w:r w:rsidR="003809B0" w:rsidRPr="002F303F">
        <w:rPr>
          <w:sz w:val="12"/>
          <w:szCs w:val="12"/>
        </w:rPr>
        <w:t xml:space="preserve">sa entro </w:t>
      </w:r>
      <w:r w:rsidRPr="002F303F">
        <w:rPr>
          <w:sz w:val="12"/>
          <w:szCs w:val="12"/>
        </w:rPr>
        <w:t xml:space="preserve"> 45 giorni solari dall’ultimo giorno di consumo addebitato in fattura.</w:t>
      </w:r>
    </w:p>
    <w:p w:rsidR="0021607E" w:rsidRPr="002F303F" w:rsidRDefault="006D33DF" w:rsidP="003D43ED">
      <w:pPr>
        <w:spacing w:line="276" w:lineRule="auto"/>
        <w:jc w:val="both"/>
        <w:rPr>
          <w:sz w:val="12"/>
          <w:szCs w:val="12"/>
        </w:rPr>
      </w:pPr>
      <w:r w:rsidRPr="002F303F">
        <w:rPr>
          <w:sz w:val="12"/>
          <w:szCs w:val="12"/>
        </w:rPr>
        <w:t>Verranno utilizzati</w:t>
      </w:r>
      <w:r w:rsidR="0021607E" w:rsidRPr="002F303F">
        <w:rPr>
          <w:sz w:val="12"/>
          <w:szCs w:val="12"/>
        </w:rPr>
        <w:t xml:space="preserve"> nelle fatture di periodo i dati di misura nel rispetto del seguente ordine: </w:t>
      </w:r>
    </w:p>
    <w:p w:rsidR="0021607E" w:rsidRPr="002F303F" w:rsidRDefault="00F16D92" w:rsidP="003D43ED">
      <w:pPr>
        <w:spacing w:line="276" w:lineRule="auto"/>
        <w:jc w:val="both"/>
        <w:rPr>
          <w:sz w:val="12"/>
          <w:szCs w:val="12"/>
        </w:rPr>
      </w:pPr>
      <w:r w:rsidRPr="002F303F">
        <w:rPr>
          <w:sz w:val="12"/>
          <w:szCs w:val="12"/>
        </w:rPr>
        <w:t xml:space="preserve">- </w:t>
      </w:r>
      <w:r w:rsidR="00D13732" w:rsidRPr="002F303F">
        <w:rPr>
          <w:sz w:val="12"/>
          <w:szCs w:val="12"/>
        </w:rPr>
        <w:t xml:space="preserve">a) </w:t>
      </w:r>
      <w:r w:rsidR="0021607E" w:rsidRPr="002F303F">
        <w:rPr>
          <w:sz w:val="12"/>
          <w:szCs w:val="12"/>
        </w:rPr>
        <w:t xml:space="preserve">dati di misura effettivi messi a disposizione dall’impresa di distribuzione; </w:t>
      </w:r>
      <w:r w:rsidRPr="002F303F">
        <w:rPr>
          <w:sz w:val="12"/>
          <w:szCs w:val="12"/>
        </w:rPr>
        <w:t xml:space="preserve">- </w:t>
      </w:r>
      <w:r w:rsidR="00D13732" w:rsidRPr="002F303F">
        <w:rPr>
          <w:sz w:val="12"/>
          <w:szCs w:val="12"/>
        </w:rPr>
        <w:t xml:space="preserve">b) </w:t>
      </w:r>
      <w:r w:rsidR="0021607E" w:rsidRPr="002F303F">
        <w:rPr>
          <w:sz w:val="12"/>
          <w:szCs w:val="12"/>
        </w:rPr>
        <w:t xml:space="preserve">autoletture comunicate dal cliente finale e validate dall’impresa di distribuzione; </w:t>
      </w:r>
      <w:r w:rsidRPr="002F303F">
        <w:rPr>
          <w:sz w:val="12"/>
          <w:szCs w:val="12"/>
        </w:rPr>
        <w:t xml:space="preserve">- </w:t>
      </w:r>
      <w:r w:rsidR="00D13732" w:rsidRPr="002F303F">
        <w:rPr>
          <w:sz w:val="12"/>
          <w:szCs w:val="12"/>
        </w:rPr>
        <w:t xml:space="preserve">c) </w:t>
      </w:r>
      <w:r w:rsidR="0021607E" w:rsidRPr="002F303F">
        <w:rPr>
          <w:sz w:val="12"/>
          <w:szCs w:val="12"/>
        </w:rPr>
        <w:t>dati di misura stimati messi a disposizione dall’impresa di distribuzione oppure stimati del venditore.</w:t>
      </w:r>
    </w:p>
    <w:p w:rsidR="001F7DE5" w:rsidRPr="002F303F" w:rsidRDefault="001F7DE5" w:rsidP="003D43ED">
      <w:pPr>
        <w:pStyle w:val="Default"/>
        <w:jc w:val="both"/>
        <w:rPr>
          <w:color w:val="auto"/>
          <w:sz w:val="12"/>
          <w:szCs w:val="12"/>
        </w:rPr>
      </w:pPr>
      <w:r w:rsidRPr="002F303F">
        <w:rPr>
          <w:color w:val="auto"/>
          <w:sz w:val="12"/>
          <w:szCs w:val="12"/>
        </w:rPr>
        <w:t>in caso di successiva disponibilità di dati di misura effettivi messi a disposizione dall’impresa di distribuzione o di autoletture, si procederà al ricalcolo degli importi precedentemente calcolati sulla base di dati di misura stimati.</w:t>
      </w:r>
    </w:p>
    <w:p w:rsidR="00C75A00" w:rsidRPr="002F303F" w:rsidRDefault="001F7DE5" w:rsidP="003D43ED">
      <w:pPr>
        <w:pStyle w:val="Default"/>
        <w:jc w:val="both"/>
        <w:rPr>
          <w:color w:val="auto"/>
          <w:sz w:val="12"/>
          <w:szCs w:val="12"/>
        </w:rPr>
      </w:pPr>
      <w:r w:rsidRPr="002F303F">
        <w:rPr>
          <w:color w:val="auto"/>
          <w:sz w:val="12"/>
          <w:szCs w:val="12"/>
        </w:rPr>
        <w:t xml:space="preserve">Non potranno essere fatturati </w:t>
      </w:r>
      <w:r w:rsidR="00F16D92" w:rsidRPr="002F303F">
        <w:rPr>
          <w:color w:val="auto"/>
          <w:sz w:val="12"/>
          <w:szCs w:val="12"/>
        </w:rPr>
        <w:t>consumi per periodi successivi alla data di emissione della fatturazione</w:t>
      </w:r>
    </w:p>
    <w:p w:rsidR="00620A93" w:rsidRPr="002F303F" w:rsidRDefault="001E4007" w:rsidP="003D43ED">
      <w:pPr>
        <w:pStyle w:val="Default"/>
        <w:spacing w:line="276" w:lineRule="auto"/>
        <w:jc w:val="both"/>
        <w:rPr>
          <w:color w:val="auto"/>
          <w:sz w:val="12"/>
          <w:szCs w:val="12"/>
        </w:rPr>
      </w:pPr>
      <w:r w:rsidRPr="002F303F">
        <w:rPr>
          <w:color w:val="auto"/>
          <w:sz w:val="12"/>
          <w:szCs w:val="12"/>
        </w:rPr>
        <w:t>In caso di cessazione della fornitura, l</w:t>
      </w:r>
      <w:r w:rsidR="00620A93" w:rsidRPr="002F303F">
        <w:rPr>
          <w:color w:val="auto"/>
          <w:sz w:val="12"/>
          <w:szCs w:val="12"/>
        </w:rPr>
        <w:t>a fattura di chiusura sarà emessa entro sei settimane decorrenti dal giorno della cessazione della fornitura.</w:t>
      </w:r>
      <w:r w:rsidR="00604AFE" w:rsidRPr="002F303F">
        <w:rPr>
          <w:color w:val="auto"/>
          <w:sz w:val="12"/>
          <w:szCs w:val="12"/>
        </w:rPr>
        <w:t xml:space="preserve"> </w:t>
      </w:r>
      <w:r w:rsidR="00620A93" w:rsidRPr="002F303F">
        <w:rPr>
          <w:color w:val="auto"/>
          <w:sz w:val="12"/>
          <w:szCs w:val="12"/>
        </w:rPr>
        <w:t>Nel caso in cui di dati di misura non siano disponibili, sarà emessa una fattura con consumi stimati entro i termini, sarà restituito il deposito cauzionale eventualmente corrisposto dal cliente finale e comunicato al cliente finale che tale fattura non costituisce una fattura di chiusura e che quest’ultima verrà emessa non appena saranno messi a disposizione dati di misura da parte dell’impresa di distribuzione.</w:t>
      </w:r>
    </w:p>
    <w:p w:rsidR="00A96F0A" w:rsidRPr="002F303F" w:rsidRDefault="00A96F0A" w:rsidP="003D43ED">
      <w:pPr>
        <w:pStyle w:val="Default"/>
        <w:jc w:val="both"/>
        <w:rPr>
          <w:color w:val="auto"/>
          <w:sz w:val="12"/>
          <w:szCs w:val="12"/>
        </w:rPr>
      </w:pPr>
      <w:r w:rsidRPr="002F303F">
        <w:rPr>
          <w:color w:val="auto"/>
          <w:sz w:val="12"/>
          <w:szCs w:val="12"/>
        </w:rPr>
        <w:t>Per i nuovi clienti la prima fatturazione stimata o in acconto si effettuerà sulla base dei profili di consumo che possono essere attribuiti al cliente in rela</w:t>
      </w:r>
      <w:r w:rsidR="00AE04A5" w:rsidRPr="002F303F">
        <w:rPr>
          <w:color w:val="auto"/>
          <w:sz w:val="12"/>
          <w:szCs w:val="12"/>
        </w:rPr>
        <w:t>zione a quanto dichiarato</w:t>
      </w:r>
      <w:r w:rsidRPr="002F303F">
        <w:rPr>
          <w:color w:val="auto"/>
          <w:sz w:val="12"/>
          <w:szCs w:val="12"/>
        </w:rPr>
        <w:t xml:space="preserve"> al momento della sottoscrizione della proposta contrattuale di somministrazione ed in relazione alla destinazione d’uso del gas, al numero ed al tipo di apparecchiature alimentate a gas di cui dispone il cliente. L’attribuzione dei consumi avverrà su base giornaliera considerando convenzionalmente costante il consumo nel periodo (metodo pro-die). </w:t>
      </w:r>
    </w:p>
    <w:p w:rsidR="00747FC7" w:rsidRPr="002F303F" w:rsidRDefault="00747FC7" w:rsidP="003D43ED">
      <w:pPr>
        <w:pStyle w:val="Default"/>
        <w:jc w:val="both"/>
        <w:rPr>
          <w:color w:val="auto"/>
          <w:sz w:val="12"/>
          <w:szCs w:val="12"/>
        </w:rPr>
      </w:pPr>
      <w:r w:rsidRPr="002F303F">
        <w:rPr>
          <w:b/>
          <w:bCs/>
          <w:color w:val="auto"/>
          <w:sz w:val="12"/>
          <w:szCs w:val="12"/>
        </w:rPr>
        <w:t xml:space="preserve">Pagamenti - </w:t>
      </w:r>
      <w:r w:rsidRPr="002F303F">
        <w:rPr>
          <w:color w:val="auto"/>
          <w:sz w:val="12"/>
          <w:szCs w:val="12"/>
        </w:rPr>
        <w:t xml:space="preserve">Il cliente è tenuto ad eseguire il pagamento di tutti gli importi fatturati entro la scadenza indicata in bolletta con la modalità di pagamento prescelta (Uffici postali, Istituti Bancari convenzionati, bonifico su c/c, RID). Il termine di scadenza per il pagamento non sarà inferiore a 20 (venti) giorni dalla data di emissione della fattura. Il pagamento, se avvenuto entro i termini di scadenza presso i soggetti e con le modalità convenute, libera immediatamente il cliente dai suoi obblighi. Eventuali contestazioni e/o reclami non daranno facoltà al Cliente di ridurre, sospendere o differire il pagamento degli importi dovuti alla Società. NEBRODI GAS VENDITA S.R.L. offre ai propri Clienti almeno una modalità gratuita di pagamento della fattura. Fatto salvo quanto sopra, il cliente, qualora rientri nelle categorie di seguito elencate è informato nella fattura della possibilità di ottenere una rateizzazione dei corrispettivi dovuti e delle relative modalità: </w:t>
      </w:r>
    </w:p>
    <w:p w:rsidR="00747FC7" w:rsidRPr="002F303F" w:rsidRDefault="00747FC7" w:rsidP="003D43ED">
      <w:pPr>
        <w:pStyle w:val="Default"/>
        <w:jc w:val="both"/>
        <w:rPr>
          <w:color w:val="auto"/>
          <w:sz w:val="12"/>
          <w:szCs w:val="12"/>
        </w:rPr>
      </w:pPr>
      <w:r w:rsidRPr="002F303F">
        <w:rPr>
          <w:i/>
          <w:color w:val="auto"/>
          <w:sz w:val="12"/>
          <w:szCs w:val="12"/>
        </w:rPr>
        <w:t>a.</w:t>
      </w:r>
      <w:r w:rsidRPr="002F303F">
        <w:rPr>
          <w:color w:val="auto"/>
          <w:sz w:val="12"/>
          <w:szCs w:val="12"/>
        </w:rPr>
        <w:t xml:space="preserve"> per i clienti con consumi fino a 5000 </w:t>
      </w:r>
      <w:proofErr w:type="spellStart"/>
      <w:r w:rsidRPr="002F303F">
        <w:rPr>
          <w:color w:val="auto"/>
          <w:sz w:val="12"/>
          <w:szCs w:val="12"/>
        </w:rPr>
        <w:t>smc</w:t>
      </w:r>
      <w:proofErr w:type="spellEnd"/>
      <w:r w:rsidRPr="002F303F">
        <w:rPr>
          <w:color w:val="auto"/>
          <w:sz w:val="12"/>
          <w:szCs w:val="12"/>
        </w:rPr>
        <w:t xml:space="preserve">/anno, qualora la fattura di conguaglio sia superiore al doppio dell’addebito più elevato fatturato nelle fatture stimate o in acconto ricevute successivamente alla precedente fattura di conguaglio; </w:t>
      </w:r>
    </w:p>
    <w:p w:rsidR="00747FC7" w:rsidRPr="002F303F" w:rsidRDefault="00747FC7" w:rsidP="003D43ED">
      <w:pPr>
        <w:pStyle w:val="Default"/>
        <w:jc w:val="both"/>
        <w:rPr>
          <w:color w:val="auto"/>
          <w:sz w:val="12"/>
          <w:szCs w:val="12"/>
        </w:rPr>
      </w:pPr>
      <w:r w:rsidRPr="002F303F">
        <w:rPr>
          <w:i/>
          <w:color w:val="auto"/>
          <w:sz w:val="12"/>
          <w:szCs w:val="12"/>
        </w:rPr>
        <w:t>b.</w:t>
      </w:r>
      <w:r w:rsidRPr="002F303F">
        <w:rPr>
          <w:color w:val="auto"/>
          <w:sz w:val="12"/>
          <w:szCs w:val="12"/>
        </w:rPr>
        <w:t xml:space="preserve"> per tutti i clienti ai quali, a seguito di malfunzionamento del gruppo di misura per causa non imputabile al cliente, venga richiesto il pagamento di corrispettivi per consumi non registrati dal gruppo di misura; </w:t>
      </w:r>
    </w:p>
    <w:p w:rsidR="00747FC7" w:rsidRPr="002F303F" w:rsidRDefault="00747FC7" w:rsidP="003D43ED">
      <w:pPr>
        <w:pStyle w:val="Default"/>
        <w:jc w:val="both"/>
        <w:rPr>
          <w:color w:val="auto"/>
          <w:sz w:val="12"/>
          <w:szCs w:val="12"/>
        </w:rPr>
      </w:pPr>
      <w:r w:rsidRPr="002F303F">
        <w:rPr>
          <w:i/>
          <w:color w:val="auto"/>
          <w:sz w:val="12"/>
          <w:szCs w:val="12"/>
        </w:rPr>
        <w:t>c.</w:t>
      </w:r>
      <w:r w:rsidRPr="002F303F">
        <w:rPr>
          <w:color w:val="auto"/>
          <w:sz w:val="12"/>
          <w:szCs w:val="12"/>
        </w:rPr>
        <w:t xml:space="preserve"> per i clienti con un gruppo di misura accessibile a cui, a causa di una o più mancate letture, sia richiesto il pagamento di un conguaglio. </w:t>
      </w:r>
    </w:p>
    <w:p w:rsidR="00747FC7" w:rsidRPr="002F303F" w:rsidRDefault="00747FC7" w:rsidP="003D43ED">
      <w:pPr>
        <w:pStyle w:val="Default"/>
        <w:jc w:val="both"/>
        <w:rPr>
          <w:color w:val="auto"/>
          <w:sz w:val="12"/>
          <w:szCs w:val="12"/>
        </w:rPr>
      </w:pPr>
      <w:r w:rsidRPr="002F303F">
        <w:rPr>
          <w:color w:val="auto"/>
          <w:sz w:val="12"/>
          <w:szCs w:val="12"/>
        </w:rPr>
        <w:t xml:space="preserve">La rateizzazione non è offerta per corrispettivi inferiori a 50,00 (cinquanta/00) euro . Qualora il cliente intenda avvalersi della facoltà di rateizzare, si impegna a darne opportuna comunicazione a NEBRODI GAS VENDITA S.R.L., a pena di decadenza, entro la data di scadenza così come indicata nella fattura. Le somme relative ai pagamenti rateali sono maggiorate degli interessi pari al tasso ufficiale di riferimento. In caso di ritardato pagamento delle fatture, NEBRODI GAS VENDITA S.R.L. potrà richiedere al cliente interessi di mora, calcolati su base annua e pari al tasso ufficiale di riferimento, così come definito ai sensi dell’articolo 2 del decreto legislativo 24 giugno 1998, n. 213, pubblicato nella Gazzetta Ufficiale 8 luglio 1998, n. 157, S.O., aumentato di 3,5 (tre virgola cinque) punti percentuali. NEBRODI GAS VENDITA S.R.L. richiederà il pagamento delle spese postali relative al sollecito di pagamento della fattura. Decorsi inutilmente 10 (dieci) giorni dall’invio del sollecito di pagamento, NEBRODI GAS VENDITA S.R.L. potrà sospendere la fornitura per morosità come disposto dal successivo articolo7. </w:t>
      </w:r>
    </w:p>
    <w:p w:rsidR="00747FC7" w:rsidRPr="002F303F" w:rsidRDefault="00747FC7" w:rsidP="003D43ED">
      <w:pPr>
        <w:pStyle w:val="Default"/>
        <w:jc w:val="both"/>
        <w:rPr>
          <w:color w:val="auto"/>
          <w:sz w:val="12"/>
          <w:szCs w:val="12"/>
        </w:rPr>
      </w:pPr>
      <w:r w:rsidRPr="002F303F">
        <w:rPr>
          <w:b/>
          <w:bCs/>
          <w:color w:val="auto"/>
          <w:sz w:val="12"/>
          <w:szCs w:val="12"/>
        </w:rPr>
        <w:t xml:space="preserve">Errori di fatturazione - </w:t>
      </w:r>
      <w:r w:rsidRPr="002F303F">
        <w:rPr>
          <w:color w:val="auto"/>
          <w:sz w:val="12"/>
          <w:szCs w:val="12"/>
        </w:rPr>
        <w:t xml:space="preserve">In caso di accertati errori di fatturazione, NEBRODI GAS VENDITA S.R.L. provvederà ad emettere una nuova fattura, conguagliando gli importi erroneamente richiesti al cliente. L’accredito delle somme erroneamente fatturate avverrà entro i termini previsti dalla normativa vigente </w:t>
      </w:r>
    </w:p>
    <w:p w:rsidR="00747FC7" w:rsidRPr="002F303F" w:rsidRDefault="00747FC7" w:rsidP="003D43ED">
      <w:pPr>
        <w:pStyle w:val="Default"/>
        <w:jc w:val="both"/>
        <w:rPr>
          <w:color w:val="auto"/>
          <w:sz w:val="12"/>
          <w:szCs w:val="12"/>
        </w:rPr>
      </w:pPr>
      <w:r w:rsidRPr="002F303F">
        <w:rPr>
          <w:b/>
          <w:bCs/>
          <w:color w:val="auto"/>
          <w:sz w:val="12"/>
          <w:szCs w:val="12"/>
        </w:rPr>
        <w:t xml:space="preserve">7) LIMITAZIONE DELLA FORNITURA, MOROSITÀ, CESSAZIONE AMMINISTRATIVA </w:t>
      </w:r>
    </w:p>
    <w:p w:rsidR="00747FC7" w:rsidRPr="002F303F" w:rsidRDefault="00747FC7" w:rsidP="003D43ED">
      <w:pPr>
        <w:pStyle w:val="Default"/>
        <w:jc w:val="both"/>
        <w:rPr>
          <w:color w:val="auto"/>
          <w:sz w:val="12"/>
          <w:szCs w:val="12"/>
        </w:rPr>
      </w:pPr>
      <w:r w:rsidRPr="002F303F">
        <w:rPr>
          <w:b/>
          <w:bCs/>
          <w:color w:val="auto"/>
          <w:sz w:val="12"/>
          <w:szCs w:val="12"/>
        </w:rPr>
        <w:t xml:space="preserve">Limitazione della fornitura - </w:t>
      </w:r>
      <w:r w:rsidRPr="002F303F">
        <w:rPr>
          <w:color w:val="auto"/>
          <w:sz w:val="12"/>
          <w:szCs w:val="12"/>
        </w:rPr>
        <w:t xml:space="preserve">NEBRODI GAS VENDITA S.R.L. potrà interrompere la somministrazione di gas in casi di forza maggiore, a causa di operazioni di manutenzione, ispezione o potenziamento svolte dalle imprese di trasporto sulla rete di gasdotti e/o dall’impresa di distribuzione sulla rete di distribuzione, per esigenze di servizio e per motivi di sicurezza adoperandosi al meglio e nei limiti del possibile per evitare disagio al cliente. </w:t>
      </w:r>
    </w:p>
    <w:p w:rsidR="00747FC7" w:rsidRPr="002F303F" w:rsidRDefault="00747FC7" w:rsidP="003D43ED">
      <w:pPr>
        <w:pStyle w:val="Default"/>
        <w:tabs>
          <w:tab w:val="left" w:pos="4820"/>
        </w:tabs>
        <w:jc w:val="both"/>
        <w:rPr>
          <w:color w:val="auto"/>
          <w:sz w:val="12"/>
          <w:szCs w:val="12"/>
        </w:rPr>
      </w:pPr>
      <w:r w:rsidRPr="002F303F">
        <w:rPr>
          <w:color w:val="auto"/>
          <w:sz w:val="12"/>
          <w:szCs w:val="12"/>
        </w:rPr>
        <w:t xml:space="preserve">Tali interruzioni, ove possibile, saranno limitate al tempo strettamente indispensabile e qualora note, comunicate con congruo preavviso e/o concordate con il cliente. </w:t>
      </w:r>
    </w:p>
    <w:p w:rsidR="00396DBE" w:rsidRPr="002F303F" w:rsidRDefault="00C63222" w:rsidP="003D43ED">
      <w:pPr>
        <w:jc w:val="both"/>
        <w:rPr>
          <w:sz w:val="14"/>
          <w:szCs w:val="14"/>
        </w:rPr>
      </w:pPr>
      <w:r w:rsidRPr="002F303F">
        <w:rPr>
          <w:sz w:val="14"/>
          <w:szCs w:val="14"/>
        </w:rPr>
        <w:t xml:space="preserve">In riferimento agli Utenti con uso </w:t>
      </w:r>
      <w:r w:rsidR="000341B5" w:rsidRPr="002F303F">
        <w:rPr>
          <w:sz w:val="14"/>
          <w:szCs w:val="14"/>
        </w:rPr>
        <w:t xml:space="preserve">del gas </w:t>
      </w:r>
      <w:r w:rsidRPr="002F303F">
        <w:rPr>
          <w:sz w:val="14"/>
          <w:szCs w:val="14"/>
        </w:rPr>
        <w:t xml:space="preserve">diverso da civile, dei comuni di Capo d’Orlando, Capri Leone, </w:t>
      </w:r>
      <w:proofErr w:type="spellStart"/>
      <w:r w:rsidRPr="002F303F">
        <w:rPr>
          <w:sz w:val="14"/>
          <w:szCs w:val="14"/>
        </w:rPr>
        <w:t>Torrenova</w:t>
      </w:r>
      <w:proofErr w:type="spellEnd"/>
      <w:r w:rsidRPr="002F303F">
        <w:rPr>
          <w:sz w:val="14"/>
          <w:szCs w:val="14"/>
        </w:rPr>
        <w:t xml:space="preserve"> e S.Agata Militello; c</w:t>
      </w:r>
      <w:r w:rsidR="00321B27" w:rsidRPr="002F303F">
        <w:rPr>
          <w:sz w:val="14"/>
          <w:szCs w:val="14"/>
        </w:rPr>
        <w:t xml:space="preserve">osì come inserito nelle condizioni generali di fornitura </w:t>
      </w:r>
      <w:r w:rsidR="000341B5" w:rsidRPr="002F303F">
        <w:rPr>
          <w:sz w:val="14"/>
          <w:szCs w:val="14"/>
        </w:rPr>
        <w:t>dei Distributori</w:t>
      </w:r>
      <w:r w:rsidR="00321B27" w:rsidRPr="002F303F">
        <w:rPr>
          <w:sz w:val="14"/>
          <w:szCs w:val="14"/>
        </w:rPr>
        <w:t xml:space="preserve"> Si Gas Distribuzione srl e Si Gas S.Agata srl</w:t>
      </w:r>
      <w:r w:rsidR="00396DBE" w:rsidRPr="002F303F">
        <w:rPr>
          <w:sz w:val="14"/>
          <w:szCs w:val="14"/>
        </w:rPr>
        <w:t xml:space="preserve"> (</w:t>
      </w:r>
      <w:r w:rsidRPr="002F303F">
        <w:rPr>
          <w:sz w:val="14"/>
          <w:szCs w:val="14"/>
        </w:rPr>
        <w:t>di seguito “</w:t>
      </w:r>
      <w:r w:rsidR="00396DBE" w:rsidRPr="002F303F">
        <w:rPr>
          <w:sz w:val="14"/>
          <w:szCs w:val="14"/>
        </w:rPr>
        <w:t>Distributori Sottesi</w:t>
      </w:r>
      <w:r w:rsidRPr="002F303F">
        <w:rPr>
          <w:sz w:val="14"/>
          <w:szCs w:val="14"/>
        </w:rPr>
        <w:t>”</w:t>
      </w:r>
      <w:r w:rsidR="00396DBE" w:rsidRPr="002F303F">
        <w:rPr>
          <w:sz w:val="14"/>
          <w:szCs w:val="14"/>
        </w:rPr>
        <w:t>)</w:t>
      </w:r>
      <w:r w:rsidR="00321B27" w:rsidRPr="002F303F">
        <w:rPr>
          <w:sz w:val="14"/>
          <w:szCs w:val="14"/>
        </w:rPr>
        <w:t xml:space="preserve">, </w:t>
      </w:r>
      <w:r w:rsidR="00AD0E34" w:rsidRPr="002F303F">
        <w:rPr>
          <w:sz w:val="14"/>
          <w:szCs w:val="14"/>
        </w:rPr>
        <w:t xml:space="preserve"> poiché i propri</w:t>
      </w:r>
      <w:r w:rsidR="00321B27" w:rsidRPr="002F303F">
        <w:rPr>
          <w:sz w:val="14"/>
          <w:szCs w:val="14"/>
        </w:rPr>
        <w:t xml:space="preserve"> impianti sono</w:t>
      </w:r>
      <w:r w:rsidR="00EB5A91" w:rsidRPr="002F303F">
        <w:rPr>
          <w:sz w:val="14"/>
          <w:szCs w:val="14"/>
        </w:rPr>
        <w:t xml:space="preserve"> collegati con la rete nazionale gestita da SNAM Rete Gas S.p.A. (Trasportatore), tramite interconnessione con l’impianto gestito dalla 2I Rete Gas Impianti SpA </w:t>
      </w:r>
      <w:r w:rsidR="00396DBE" w:rsidRPr="002F303F">
        <w:rPr>
          <w:sz w:val="14"/>
          <w:szCs w:val="14"/>
        </w:rPr>
        <w:lastRenderedPageBreak/>
        <w:t>(D</w:t>
      </w:r>
      <w:r w:rsidR="00EB5A91" w:rsidRPr="002F303F">
        <w:rPr>
          <w:sz w:val="14"/>
          <w:szCs w:val="14"/>
        </w:rPr>
        <w:t>istributore primario)</w:t>
      </w:r>
      <w:r w:rsidR="00396DBE" w:rsidRPr="002F303F">
        <w:rPr>
          <w:sz w:val="14"/>
          <w:szCs w:val="14"/>
        </w:rPr>
        <w:t>, che,</w:t>
      </w:r>
      <w:r w:rsidR="00396DBE" w:rsidRPr="002F303F">
        <w:rPr>
          <w:b/>
          <w:sz w:val="14"/>
          <w:szCs w:val="14"/>
        </w:rPr>
        <w:t xml:space="preserve"> </w:t>
      </w:r>
      <w:r w:rsidR="00396DBE" w:rsidRPr="002F303F">
        <w:rPr>
          <w:sz w:val="14"/>
          <w:szCs w:val="14"/>
        </w:rPr>
        <w:t xml:space="preserve">compatibilmente con la </w:t>
      </w:r>
      <w:r w:rsidR="00AD0E34" w:rsidRPr="002F303F">
        <w:rPr>
          <w:sz w:val="14"/>
          <w:szCs w:val="14"/>
        </w:rPr>
        <w:t xml:space="preserve">propria </w:t>
      </w:r>
      <w:r w:rsidR="00396DBE" w:rsidRPr="002F303F">
        <w:rPr>
          <w:sz w:val="14"/>
          <w:szCs w:val="14"/>
        </w:rPr>
        <w:t>capacità d</w:t>
      </w:r>
      <w:r w:rsidR="00AD0E34" w:rsidRPr="002F303F">
        <w:rPr>
          <w:sz w:val="14"/>
          <w:szCs w:val="14"/>
        </w:rPr>
        <w:t>i trasporto</w:t>
      </w:r>
      <w:r w:rsidR="00396DBE" w:rsidRPr="002F303F">
        <w:rPr>
          <w:sz w:val="14"/>
          <w:szCs w:val="14"/>
        </w:rPr>
        <w:t>, ha limitato il prelievo massimo orario ai D</w:t>
      </w:r>
      <w:r w:rsidRPr="002F303F">
        <w:rPr>
          <w:sz w:val="14"/>
          <w:szCs w:val="14"/>
        </w:rPr>
        <w:t>istributori Sottesi</w:t>
      </w:r>
      <w:r w:rsidR="00396DBE" w:rsidRPr="002F303F">
        <w:rPr>
          <w:sz w:val="14"/>
          <w:szCs w:val="14"/>
        </w:rPr>
        <w:t xml:space="preserve">. </w:t>
      </w:r>
    </w:p>
    <w:p w:rsidR="00C63222" w:rsidRPr="002F303F" w:rsidRDefault="00396DBE" w:rsidP="003D43ED">
      <w:pPr>
        <w:jc w:val="both"/>
        <w:rPr>
          <w:sz w:val="14"/>
          <w:szCs w:val="14"/>
        </w:rPr>
      </w:pPr>
      <w:r w:rsidRPr="002F303F">
        <w:rPr>
          <w:sz w:val="14"/>
          <w:szCs w:val="14"/>
        </w:rPr>
        <w:t>A tal proposito i Distributori Sottesi, così come previsto dall’articolo 13.8 della deliberazione 138/04 ARERA, per garantire gli obblighi di servizio pubblico e tenendo conto della limitazione de</w:t>
      </w:r>
      <w:r w:rsidR="00C63222" w:rsidRPr="002F303F">
        <w:rPr>
          <w:sz w:val="14"/>
          <w:szCs w:val="14"/>
        </w:rPr>
        <w:t>lla capacità di trasporto, potranno</w:t>
      </w:r>
      <w:r w:rsidRPr="002F303F">
        <w:rPr>
          <w:sz w:val="14"/>
          <w:szCs w:val="14"/>
        </w:rPr>
        <w:t xml:space="preserve"> richiedere di limitare il prelievo orario agli Utenti con uso diverso da civile, nelle ore di maggior consumo durante il periodo invernale (dicembre - marzo).In tal caso, </w:t>
      </w:r>
      <w:r w:rsidR="00C63222" w:rsidRPr="002F303F">
        <w:rPr>
          <w:sz w:val="14"/>
          <w:szCs w:val="14"/>
        </w:rPr>
        <w:t>i Distributori Sottesi comunicheranno</w:t>
      </w:r>
      <w:r w:rsidRPr="002F303F">
        <w:rPr>
          <w:sz w:val="14"/>
          <w:szCs w:val="14"/>
        </w:rPr>
        <w:t xml:space="preserve">, all’Utente della Distribuzione e all’Utente finale con uso del gas diverso da civile, la limitazione, specificando il periodo e la fascia oraria. </w:t>
      </w:r>
    </w:p>
    <w:p w:rsidR="00747FC7" w:rsidRPr="002F303F" w:rsidRDefault="00747FC7" w:rsidP="003D43ED">
      <w:pPr>
        <w:pStyle w:val="Paragrafoelenco"/>
        <w:ind w:left="0"/>
        <w:jc w:val="both"/>
        <w:rPr>
          <w:sz w:val="12"/>
          <w:szCs w:val="12"/>
        </w:rPr>
      </w:pPr>
      <w:r w:rsidRPr="002F303F">
        <w:rPr>
          <w:b/>
          <w:bCs/>
          <w:sz w:val="12"/>
          <w:szCs w:val="12"/>
        </w:rPr>
        <w:t xml:space="preserve">Morosità - </w:t>
      </w:r>
      <w:r w:rsidRPr="002F303F">
        <w:rPr>
          <w:sz w:val="12"/>
          <w:szCs w:val="12"/>
        </w:rPr>
        <w:t xml:space="preserve">In caso di ritardato pagamento delle fatture, la </w:t>
      </w:r>
      <w:r w:rsidR="00A13BD0" w:rsidRPr="002F303F">
        <w:rPr>
          <w:sz w:val="12"/>
          <w:szCs w:val="12"/>
        </w:rPr>
        <w:t xml:space="preserve">NEBRODI GAS VENDITA S.R.L., </w:t>
      </w:r>
      <w:r w:rsidRPr="002F303F">
        <w:rPr>
          <w:sz w:val="12"/>
          <w:szCs w:val="12"/>
        </w:rPr>
        <w:t xml:space="preserve"> potrà richiedere al cliente interessi di mora, calcolati su base annua e pari al tasso ufficiale di riferimento, così come definito ai sensi dell’art. 2 del Decreto Legislativo 24/06/1998, n. 213, aumentato di 3,5 punti percentuali. Il cliente buon pagatore, cioè il Cliente che nei due anni precedenti abbia sempre pagato la bolletta entro i termini, per i primi dieci giorni di ritardo, dovrà pagare solo gli interessi legali. L’esercente la vendita, decorsi 15 (quindici) giorni dalla scadenza di adempimento indicata in fattura senza che il cliente abbia provveduto al relativo pagamento, attiverà le procedure previste dalla normativa in caso di morosità del cliente finale (Testo Integrato Morosità Gas – TIMG Delibera ARG/gas 99/11 e </w:t>
      </w:r>
      <w:proofErr w:type="spellStart"/>
      <w:r w:rsidRPr="002F303F">
        <w:rPr>
          <w:sz w:val="12"/>
          <w:szCs w:val="12"/>
        </w:rPr>
        <w:t>s.m.i.</w:t>
      </w:r>
      <w:proofErr w:type="spellEnd"/>
      <w:r w:rsidRPr="002F303F">
        <w:rPr>
          <w:sz w:val="12"/>
          <w:szCs w:val="12"/>
        </w:rPr>
        <w:t xml:space="preserve"> .In particolare l’esercente la vendita invierà al cliente una comunicazione di costituzione e messa in mora a mezzo di lettera raccomandata contenente intimazione e diffida ad adempiere entro e non oltre il termine di 20 (venti) giorni solari decorrenti dalla data di emissione della medesima raccomandata di messa in mora. La </w:t>
      </w:r>
      <w:r w:rsidR="002C5E15" w:rsidRPr="002F303F">
        <w:rPr>
          <w:sz w:val="12"/>
          <w:szCs w:val="12"/>
        </w:rPr>
        <w:t>NEBRODI GAS VENDITA S.R.L</w:t>
      </w:r>
      <w:r w:rsidRPr="002F303F">
        <w:rPr>
          <w:sz w:val="12"/>
          <w:szCs w:val="12"/>
        </w:rPr>
        <w:t xml:space="preserve"> richiederà il pagamento delle spese postali  relative alla messa in mora. Se dopo il sollecito e nei termini concessi per l’adempimento, il cliente avrà provveduto al pagamento di quanto richiesto dovrà darne immediata comunicazione all’esercente la vendita mediante invio attestazione di pagame</w:t>
      </w:r>
      <w:r w:rsidR="00A13BD0" w:rsidRPr="002F303F">
        <w:rPr>
          <w:sz w:val="12"/>
          <w:szCs w:val="12"/>
        </w:rPr>
        <w:t>nto tramite</w:t>
      </w:r>
      <w:r w:rsidRPr="002F303F">
        <w:rPr>
          <w:sz w:val="12"/>
          <w:szCs w:val="12"/>
        </w:rPr>
        <w:t xml:space="preserve"> email </w:t>
      </w:r>
      <w:r w:rsidR="00A13BD0" w:rsidRPr="002F303F">
        <w:rPr>
          <w:sz w:val="12"/>
          <w:szCs w:val="12"/>
        </w:rPr>
        <w:t>all’</w:t>
      </w:r>
      <w:r w:rsidRPr="002F303F">
        <w:rPr>
          <w:sz w:val="12"/>
          <w:szCs w:val="12"/>
        </w:rPr>
        <w:t xml:space="preserve">indirizzo </w:t>
      </w:r>
      <w:hyperlink r:id="rId9" w:history="1">
        <w:r w:rsidRPr="002F303F">
          <w:rPr>
            <w:rStyle w:val="Collegamentoipertestuale"/>
            <w:color w:val="auto"/>
            <w:sz w:val="12"/>
            <w:szCs w:val="12"/>
          </w:rPr>
          <w:t>info@nebrodigas.it</w:t>
        </w:r>
      </w:hyperlink>
      <w:r w:rsidRPr="002F303F">
        <w:rPr>
          <w:sz w:val="12"/>
          <w:szCs w:val="12"/>
        </w:rPr>
        <w:t>, oppure presentando l’originale della medesima documentazione presso gli sportelli dell’esercente la vendita negli orari di ufficio. Se il cliente decorsi 3 (tre) giorni lavorativi dal predetto termine ultimo di 20 giorni dall’emissione del sollecito, non avrà provveduto al pagamento di quanto dovuto, l’esercente la vendita avrà il diritto di chiedere all’impresa distributrice la chiusura del punto di riconsegna per sospensione della fornitura per morosità. L’esercente la vendita, in caso di sospensione per morosità, avrà diritto di chiedere al cliente il pagamento del corrispettivo di sospensione e di riattivazione della fornitura di gas nel limite dell’ammontare previsto dal Distributore locale. L’esercente la vendita corrisponderà al cliente finale un indennizzo automatico come da successivo articolo 8.</w:t>
      </w:r>
    </w:p>
    <w:p w:rsidR="002C5E15" w:rsidRPr="002F303F" w:rsidRDefault="00747FC7" w:rsidP="003D43ED">
      <w:pPr>
        <w:pStyle w:val="Default"/>
        <w:tabs>
          <w:tab w:val="left" w:pos="4820"/>
        </w:tabs>
        <w:jc w:val="both"/>
        <w:rPr>
          <w:b/>
          <w:bCs/>
          <w:color w:val="auto"/>
          <w:sz w:val="12"/>
          <w:szCs w:val="12"/>
        </w:rPr>
      </w:pPr>
      <w:r w:rsidRPr="002F303F">
        <w:rPr>
          <w:color w:val="auto"/>
          <w:sz w:val="12"/>
          <w:szCs w:val="12"/>
        </w:rPr>
        <w:t>Qualora il distributore locale sia impossibilitato all’interruzione della fornitura a monte del gruppo di misura (taglio colonna montante), NEBRODI GAS VENDITA S.R.L. si riserva la facoltà di richiedere la cessazione amministrativa e l’attivazione dei servizi di ultima istanza. Qualora il cliente sia una struttura pubblica o privata che svolge un’attività riconosciuta di assistenza, tra cui ospedali, case di cura e di riposo, carceri e scuole (art. 2.3 lettera c della deliberazione 28 maggio 2009 A</w:t>
      </w:r>
      <w:r w:rsidR="002C5E15" w:rsidRPr="002F303F">
        <w:rPr>
          <w:color w:val="auto"/>
          <w:sz w:val="12"/>
          <w:szCs w:val="12"/>
        </w:rPr>
        <w:t>RG/gas 64/09, “</w:t>
      </w:r>
      <w:r w:rsidRPr="002F303F">
        <w:rPr>
          <w:color w:val="auto"/>
          <w:sz w:val="12"/>
          <w:szCs w:val="12"/>
        </w:rPr>
        <w:t>Testo integrato delle attività di vendita al dettaglio di gas naturale e gas diversi da gas naturale distribuiti a mezzo di reti urbane (TIVG)”, pubblicat</w:t>
      </w:r>
      <w:r w:rsidR="002C5E15" w:rsidRPr="002F303F">
        <w:rPr>
          <w:color w:val="auto"/>
          <w:sz w:val="12"/>
          <w:szCs w:val="12"/>
        </w:rPr>
        <w:t xml:space="preserve">o in data 04/06/2009, e </w:t>
      </w:r>
      <w:proofErr w:type="spellStart"/>
      <w:r w:rsidR="002C5E15" w:rsidRPr="002F303F">
        <w:rPr>
          <w:color w:val="auto"/>
          <w:sz w:val="12"/>
          <w:szCs w:val="12"/>
        </w:rPr>
        <w:t>s.m.i.</w:t>
      </w:r>
      <w:proofErr w:type="spellEnd"/>
      <w:r w:rsidRPr="002F303F">
        <w:rPr>
          <w:color w:val="auto"/>
          <w:sz w:val="12"/>
          <w:szCs w:val="12"/>
        </w:rPr>
        <w:t xml:space="preserve"> NEBRODI GAS VENDITA S.R.L., una volta inviata la lettera di costituzione in mora di cui sopra, si riserva la facoltà, in caso di persistente morosità, di richiedere la cessazione amministrativa e l’attivazione del servizio di fornitura di ultima istanza  di cui alla Sezione I Titolo IV del di ultima istanza. della suddetta deliberazione 28 maggio 2009 ARG/gas 64/09 e </w:t>
      </w:r>
      <w:proofErr w:type="spellStart"/>
      <w:r w:rsidR="002C5E15" w:rsidRPr="002F303F">
        <w:rPr>
          <w:color w:val="auto"/>
          <w:sz w:val="12"/>
          <w:szCs w:val="12"/>
        </w:rPr>
        <w:t>s.m.i</w:t>
      </w:r>
      <w:proofErr w:type="spellEnd"/>
      <w:r w:rsidR="002C5E15" w:rsidRPr="002F303F">
        <w:rPr>
          <w:b/>
          <w:bCs/>
          <w:color w:val="auto"/>
          <w:sz w:val="12"/>
          <w:szCs w:val="12"/>
        </w:rPr>
        <w:t xml:space="preserve"> </w:t>
      </w:r>
    </w:p>
    <w:p w:rsidR="00747FC7" w:rsidRPr="002F303F" w:rsidRDefault="00747FC7" w:rsidP="003D43ED">
      <w:pPr>
        <w:pStyle w:val="Default"/>
        <w:tabs>
          <w:tab w:val="left" w:pos="4820"/>
        </w:tabs>
        <w:jc w:val="both"/>
        <w:rPr>
          <w:color w:val="auto"/>
          <w:sz w:val="12"/>
          <w:szCs w:val="12"/>
        </w:rPr>
      </w:pPr>
      <w:r w:rsidRPr="002F303F">
        <w:rPr>
          <w:b/>
          <w:bCs/>
          <w:color w:val="auto"/>
          <w:sz w:val="12"/>
          <w:szCs w:val="12"/>
        </w:rPr>
        <w:t xml:space="preserve">Cessazione Amministrativa - </w:t>
      </w:r>
      <w:r w:rsidRPr="002F303F">
        <w:rPr>
          <w:color w:val="auto"/>
          <w:sz w:val="12"/>
          <w:szCs w:val="12"/>
        </w:rPr>
        <w:t xml:space="preserve">NEBRODI GAS VENDITA S.R.L., decorsi 10 giorni solari dalla sospensione della fornitura senza che il cliente fornisca idonea documentazione attestante l’avvenuto pagamento degli importi insoluti, potrà procedere d’ufficio alla cessazione amministrativa del contratto. Nel qual caso il cliente, per ottenere la riattivazione della fornitura, dovrà preventivamente sottoscrivere una nuova proposta contrattuale di fornitura, previa estinzione di tutti gli importi insoluti del precedente rapporto contrattuale. NEBRODI GAS VENDITA S.R.L. si riserva inoltre di procedere alla cessazione amministrativa per motivi diversi dalla morosità come disciplinata dalla Deliberazione </w:t>
      </w:r>
      <w:r w:rsidR="00A577B9" w:rsidRPr="002F303F">
        <w:rPr>
          <w:color w:val="auto"/>
          <w:sz w:val="12"/>
          <w:szCs w:val="12"/>
        </w:rPr>
        <w:t>ARERA</w:t>
      </w:r>
      <w:r w:rsidRPr="002F303F">
        <w:rPr>
          <w:color w:val="auto"/>
          <w:sz w:val="12"/>
          <w:szCs w:val="12"/>
        </w:rPr>
        <w:t xml:space="preserve"> del 29/07/2004, n. 138/04 “Adozione di garanzie per il libero accesso al servizio di distribuzione del gas naturale e di norme per la predispo</w:t>
      </w:r>
      <w:r w:rsidR="001C10AC" w:rsidRPr="002F303F">
        <w:rPr>
          <w:color w:val="auto"/>
          <w:sz w:val="12"/>
          <w:szCs w:val="12"/>
        </w:rPr>
        <w:t xml:space="preserve">sizione dei codici di rete” e s. m. </w:t>
      </w:r>
      <w:r w:rsidR="00E2476D" w:rsidRPr="002F303F">
        <w:rPr>
          <w:color w:val="auto"/>
          <w:sz w:val="12"/>
          <w:szCs w:val="12"/>
        </w:rPr>
        <w:t>i. pubblicata</w:t>
      </w:r>
      <w:r w:rsidRPr="002F303F">
        <w:rPr>
          <w:color w:val="auto"/>
          <w:sz w:val="12"/>
          <w:szCs w:val="12"/>
        </w:rPr>
        <w:t xml:space="preserve"> in data </w:t>
      </w:r>
      <w:r w:rsidR="001C10AC" w:rsidRPr="002F303F">
        <w:rPr>
          <w:color w:val="auto"/>
          <w:sz w:val="12"/>
          <w:szCs w:val="12"/>
        </w:rPr>
        <w:t>31/07/</w:t>
      </w:r>
      <w:r w:rsidRPr="002F303F">
        <w:rPr>
          <w:color w:val="auto"/>
          <w:sz w:val="12"/>
          <w:szCs w:val="12"/>
        </w:rPr>
        <w:t xml:space="preserve"> 2004. </w:t>
      </w:r>
    </w:p>
    <w:p w:rsidR="009C01E2" w:rsidRPr="002F303F" w:rsidRDefault="00E34836" w:rsidP="003D43ED">
      <w:pPr>
        <w:autoSpaceDE w:val="0"/>
        <w:autoSpaceDN w:val="0"/>
        <w:adjustRightInd w:val="0"/>
        <w:rPr>
          <w:sz w:val="12"/>
          <w:szCs w:val="12"/>
        </w:rPr>
      </w:pPr>
      <w:r w:rsidRPr="002F303F">
        <w:rPr>
          <w:sz w:val="12"/>
          <w:szCs w:val="12"/>
        </w:rPr>
        <w:t>I</w:t>
      </w:r>
      <w:r w:rsidR="009C01E2" w:rsidRPr="002F303F">
        <w:rPr>
          <w:sz w:val="12"/>
          <w:szCs w:val="12"/>
        </w:rPr>
        <w:t>n caso di Cessazione amministrativa per morosit</w:t>
      </w:r>
      <w:r w:rsidR="009C01E2" w:rsidRPr="002F303F">
        <w:rPr>
          <w:rFonts w:hint="eastAsia"/>
          <w:sz w:val="12"/>
          <w:szCs w:val="12"/>
        </w:rPr>
        <w:t>à</w:t>
      </w:r>
      <w:r w:rsidR="009C01E2" w:rsidRPr="002F303F">
        <w:rPr>
          <w:sz w:val="12"/>
          <w:szCs w:val="12"/>
        </w:rPr>
        <w:t xml:space="preserve"> a seguito di impossibilit</w:t>
      </w:r>
      <w:r w:rsidR="009C01E2" w:rsidRPr="002F303F">
        <w:rPr>
          <w:rFonts w:hint="eastAsia"/>
          <w:sz w:val="12"/>
          <w:szCs w:val="12"/>
        </w:rPr>
        <w:t>à</w:t>
      </w:r>
      <w:r w:rsidRPr="002F303F">
        <w:rPr>
          <w:sz w:val="12"/>
          <w:szCs w:val="12"/>
        </w:rPr>
        <w:t xml:space="preserve"> </w:t>
      </w:r>
      <w:r w:rsidR="009C01E2" w:rsidRPr="002F303F">
        <w:rPr>
          <w:sz w:val="12"/>
          <w:szCs w:val="12"/>
        </w:rPr>
        <w:t>di interruzione</w:t>
      </w:r>
      <w:r w:rsidRPr="002F303F">
        <w:rPr>
          <w:sz w:val="12"/>
          <w:szCs w:val="12"/>
        </w:rPr>
        <w:t xml:space="preserve"> </w:t>
      </w:r>
      <w:r w:rsidR="009C01E2" w:rsidRPr="002F303F">
        <w:rPr>
          <w:sz w:val="12"/>
          <w:szCs w:val="12"/>
        </w:rPr>
        <w:t>dell</w:t>
      </w:r>
      <w:r w:rsidR="009C01E2" w:rsidRPr="002F303F">
        <w:rPr>
          <w:rFonts w:hint="eastAsia"/>
          <w:sz w:val="12"/>
          <w:szCs w:val="12"/>
        </w:rPr>
        <w:t>’</w:t>
      </w:r>
      <w:r w:rsidR="009C01E2" w:rsidRPr="002F303F">
        <w:rPr>
          <w:sz w:val="12"/>
          <w:szCs w:val="12"/>
        </w:rPr>
        <w:t>alimentazione del punto di riconsegna, il venditore sar</w:t>
      </w:r>
      <w:r w:rsidR="009C01E2" w:rsidRPr="002F303F">
        <w:rPr>
          <w:rFonts w:hint="eastAsia"/>
          <w:sz w:val="12"/>
          <w:szCs w:val="12"/>
        </w:rPr>
        <w:t>à</w:t>
      </w:r>
      <w:r w:rsidRPr="002F303F">
        <w:rPr>
          <w:sz w:val="12"/>
          <w:szCs w:val="12"/>
        </w:rPr>
        <w:t xml:space="preserve"> </w:t>
      </w:r>
      <w:r w:rsidR="009C01E2" w:rsidRPr="002F303F">
        <w:rPr>
          <w:sz w:val="12"/>
          <w:szCs w:val="12"/>
        </w:rPr>
        <w:t>tenuto a trasmettere all</w:t>
      </w:r>
      <w:r w:rsidR="009C01E2" w:rsidRPr="002F303F">
        <w:rPr>
          <w:rFonts w:hint="eastAsia"/>
          <w:sz w:val="12"/>
          <w:szCs w:val="12"/>
        </w:rPr>
        <w:t>’</w:t>
      </w:r>
      <w:r w:rsidR="009C01E2" w:rsidRPr="002F303F">
        <w:rPr>
          <w:sz w:val="12"/>
          <w:szCs w:val="12"/>
        </w:rPr>
        <w:t>impresa di distribuzione:</w:t>
      </w:r>
    </w:p>
    <w:p w:rsidR="009C01E2" w:rsidRPr="002F303F" w:rsidRDefault="009C01E2" w:rsidP="003D43ED">
      <w:pPr>
        <w:autoSpaceDE w:val="0"/>
        <w:autoSpaceDN w:val="0"/>
        <w:adjustRightInd w:val="0"/>
        <w:rPr>
          <w:sz w:val="12"/>
          <w:szCs w:val="12"/>
        </w:rPr>
      </w:pPr>
      <w:r w:rsidRPr="002F303F">
        <w:rPr>
          <w:sz w:val="12"/>
          <w:szCs w:val="12"/>
        </w:rPr>
        <w:t>i) copia delle fatture non pagate;</w:t>
      </w:r>
    </w:p>
    <w:p w:rsidR="009C01E2" w:rsidRPr="002F303F" w:rsidRDefault="009C01E2" w:rsidP="003D43ED">
      <w:pPr>
        <w:autoSpaceDE w:val="0"/>
        <w:autoSpaceDN w:val="0"/>
        <w:adjustRightInd w:val="0"/>
        <w:rPr>
          <w:sz w:val="12"/>
          <w:szCs w:val="12"/>
        </w:rPr>
      </w:pPr>
      <w:r w:rsidRPr="002F303F">
        <w:rPr>
          <w:sz w:val="12"/>
          <w:szCs w:val="12"/>
        </w:rPr>
        <w:t>ii) copia della documentazione relativa alla costituzione in mora del cliente</w:t>
      </w:r>
      <w:r w:rsidR="00E34836" w:rsidRPr="002F303F">
        <w:rPr>
          <w:sz w:val="12"/>
          <w:szCs w:val="12"/>
        </w:rPr>
        <w:t xml:space="preserve"> </w:t>
      </w:r>
      <w:r w:rsidRPr="002F303F">
        <w:rPr>
          <w:sz w:val="12"/>
          <w:szCs w:val="12"/>
        </w:rPr>
        <w:t>finale;</w:t>
      </w:r>
    </w:p>
    <w:p w:rsidR="009C01E2" w:rsidRPr="002F303F" w:rsidRDefault="009C01E2" w:rsidP="003D43ED">
      <w:pPr>
        <w:autoSpaceDE w:val="0"/>
        <w:autoSpaceDN w:val="0"/>
        <w:adjustRightInd w:val="0"/>
        <w:rPr>
          <w:sz w:val="12"/>
          <w:szCs w:val="12"/>
        </w:rPr>
      </w:pPr>
      <w:r w:rsidRPr="002F303F">
        <w:rPr>
          <w:sz w:val="12"/>
          <w:szCs w:val="12"/>
        </w:rPr>
        <w:t>iii) copia della risoluzione del contratto con il cliente finale e della</w:t>
      </w:r>
      <w:r w:rsidR="00E34836" w:rsidRPr="002F303F">
        <w:rPr>
          <w:sz w:val="12"/>
          <w:szCs w:val="12"/>
        </w:rPr>
        <w:t xml:space="preserve"> </w:t>
      </w:r>
      <w:r w:rsidRPr="002F303F">
        <w:rPr>
          <w:sz w:val="12"/>
          <w:szCs w:val="12"/>
        </w:rPr>
        <w:t>documentazione attestante la ricezione della risoluzione da parte del</w:t>
      </w:r>
      <w:r w:rsidR="00E34836" w:rsidRPr="002F303F">
        <w:rPr>
          <w:sz w:val="12"/>
          <w:szCs w:val="12"/>
        </w:rPr>
        <w:t xml:space="preserve"> </w:t>
      </w:r>
      <w:r w:rsidRPr="002F303F">
        <w:rPr>
          <w:sz w:val="12"/>
          <w:szCs w:val="12"/>
        </w:rPr>
        <w:t>cliente;</w:t>
      </w:r>
    </w:p>
    <w:p w:rsidR="009C01E2" w:rsidRPr="002F303F" w:rsidRDefault="009C01E2" w:rsidP="003D43ED">
      <w:pPr>
        <w:autoSpaceDE w:val="0"/>
        <w:autoSpaceDN w:val="0"/>
        <w:adjustRightInd w:val="0"/>
        <w:rPr>
          <w:sz w:val="12"/>
          <w:szCs w:val="12"/>
        </w:rPr>
      </w:pPr>
      <w:r w:rsidRPr="002F303F">
        <w:rPr>
          <w:sz w:val="12"/>
          <w:szCs w:val="12"/>
        </w:rPr>
        <w:t>iv) copia del contratto di fornitura (ove disponibile) o dell</w:t>
      </w:r>
      <w:r w:rsidRPr="002F303F">
        <w:rPr>
          <w:rFonts w:hint="eastAsia"/>
          <w:sz w:val="12"/>
          <w:szCs w:val="12"/>
        </w:rPr>
        <w:t>’</w:t>
      </w:r>
      <w:r w:rsidRPr="002F303F">
        <w:rPr>
          <w:sz w:val="12"/>
          <w:szCs w:val="12"/>
        </w:rPr>
        <w:t>ultima fattura</w:t>
      </w:r>
      <w:r w:rsidR="00E34836" w:rsidRPr="002F303F">
        <w:rPr>
          <w:sz w:val="12"/>
          <w:szCs w:val="12"/>
        </w:rPr>
        <w:t xml:space="preserve"> </w:t>
      </w:r>
      <w:r w:rsidRPr="002F303F">
        <w:rPr>
          <w:sz w:val="12"/>
          <w:szCs w:val="12"/>
        </w:rPr>
        <w:t>pagata;</w:t>
      </w:r>
    </w:p>
    <w:p w:rsidR="009C01E2" w:rsidRPr="002F303F" w:rsidRDefault="009C01E2" w:rsidP="003D43ED">
      <w:pPr>
        <w:autoSpaceDE w:val="0"/>
        <w:autoSpaceDN w:val="0"/>
        <w:adjustRightInd w:val="0"/>
        <w:rPr>
          <w:sz w:val="12"/>
          <w:szCs w:val="12"/>
        </w:rPr>
      </w:pPr>
      <w:r w:rsidRPr="002F303F">
        <w:rPr>
          <w:sz w:val="12"/>
          <w:szCs w:val="12"/>
        </w:rPr>
        <w:t>v) documento di sintesi attestante l</w:t>
      </w:r>
      <w:r w:rsidRPr="002F303F">
        <w:rPr>
          <w:rFonts w:hint="eastAsia"/>
          <w:sz w:val="12"/>
          <w:szCs w:val="12"/>
        </w:rPr>
        <w:t>’</w:t>
      </w:r>
      <w:r w:rsidRPr="002F303F">
        <w:rPr>
          <w:sz w:val="12"/>
          <w:szCs w:val="12"/>
        </w:rPr>
        <w:t>ammontare del credito insoluto, nonch</w:t>
      </w:r>
      <w:r w:rsidRPr="002F303F">
        <w:rPr>
          <w:rFonts w:hint="eastAsia"/>
          <w:sz w:val="12"/>
          <w:szCs w:val="12"/>
        </w:rPr>
        <w:t>é</w:t>
      </w:r>
      <w:r w:rsidR="00E34836" w:rsidRPr="002F303F">
        <w:rPr>
          <w:sz w:val="12"/>
          <w:szCs w:val="12"/>
        </w:rPr>
        <w:t xml:space="preserve"> </w:t>
      </w:r>
      <w:r w:rsidRPr="002F303F">
        <w:rPr>
          <w:sz w:val="12"/>
          <w:szCs w:val="12"/>
        </w:rPr>
        <w:t>ulteriore documentazione idonea a evidenziare la situazione di morosit</w:t>
      </w:r>
      <w:r w:rsidRPr="002F303F">
        <w:rPr>
          <w:rFonts w:hint="eastAsia"/>
          <w:sz w:val="12"/>
          <w:szCs w:val="12"/>
        </w:rPr>
        <w:t>à</w:t>
      </w:r>
      <w:r w:rsidRPr="002F303F">
        <w:rPr>
          <w:sz w:val="12"/>
          <w:szCs w:val="12"/>
        </w:rPr>
        <w:t xml:space="preserve"> del</w:t>
      </w:r>
      <w:r w:rsidR="00E34836" w:rsidRPr="002F303F">
        <w:rPr>
          <w:sz w:val="12"/>
          <w:szCs w:val="12"/>
        </w:rPr>
        <w:t xml:space="preserve"> </w:t>
      </w:r>
      <w:r w:rsidRPr="002F303F">
        <w:rPr>
          <w:sz w:val="12"/>
          <w:szCs w:val="12"/>
        </w:rPr>
        <w:t>cliente finale.</w:t>
      </w:r>
    </w:p>
    <w:p w:rsidR="0021756C" w:rsidRPr="002F303F" w:rsidRDefault="0021756C" w:rsidP="003D43ED">
      <w:pPr>
        <w:autoSpaceDE w:val="0"/>
        <w:autoSpaceDN w:val="0"/>
        <w:adjustRightInd w:val="0"/>
        <w:rPr>
          <w:sz w:val="12"/>
          <w:szCs w:val="12"/>
        </w:rPr>
      </w:pPr>
      <w:r w:rsidRPr="002F303F">
        <w:rPr>
          <w:sz w:val="12"/>
          <w:szCs w:val="12"/>
        </w:rPr>
        <w:t>Il Cliente finale assume l’obbligo di consentire all’impresa di distribuzione di accedere ai locali in cui è ubicato l’impianto di misura al fine di poter disalimentare il punto di riconsegna in caso di inadempimento del cliente medesimo.</w:t>
      </w:r>
    </w:p>
    <w:p w:rsidR="00747FC7" w:rsidRPr="002F303F" w:rsidRDefault="00747FC7" w:rsidP="003D43ED">
      <w:pPr>
        <w:pStyle w:val="Default"/>
        <w:jc w:val="both"/>
        <w:rPr>
          <w:b/>
          <w:color w:val="auto"/>
          <w:sz w:val="12"/>
          <w:szCs w:val="12"/>
        </w:rPr>
      </w:pPr>
      <w:r w:rsidRPr="002F303F">
        <w:rPr>
          <w:b/>
          <w:color w:val="auto"/>
          <w:sz w:val="12"/>
          <w:szCs w:val="12"/>
        </w:rPr>
        <w:t>8) INDENNIZZI, RECLAMI, CHIARIMENTI E LIVELLI SPECIFICI</w:t>
      </w:r>
    </w:p>
    <w:p w:rsidR="00747FC7" w:rsidRPr="002F303F" w:rsidRDefault="00747FC7" w:rsidP="003D43ED">
      <w:pPr>
        <w:pStyle w:val="Default"/>
        <w:jc w:val="both"/>
        <w:rPr>
          <w:color w:val="auto"/>
          <w:sz w:val="12"/>
          <w:szCs w:val="12"/>
        </w:rPr>
      </w:pPr>
      <w:r w:rsidRPr="002F303F">
        <w:rPr>
          <w:color w:val="auto"/>
          <w:sz w:val="12"/>
          <w:szCs w:val="12"/>
        </w:rPr>
        <w:t>Il cliente avrà diritto alla corresponsione degli indennizzi automatici nei casi previsti dalla vigente normativa, con particolare riferimento all’art.14 della Delibera ARG/</w:t>
      </w:r>
      <w:proofErr w:type="spellStart"/>
      <w:r w:rsidRPr="002F303F">
        <w:rPr>
          <w:color w:val="auto"/>
          <w:sz w:val="12"/>
          <w:szCs w:val="12"/>
        </w:rPr>
        <w:t>com</w:t>
      </w:r>
      <w:proofErr w:type="spellEnd"/>
      <w:r w:rsidRPr="002F303F">
        <w:rPr>
          <w:color w:val="auto"/>
          <w:sz w:val="12"/>
          <w:szCs w:val="12"/>
        </w:rPr>
        <w:t xml:space="preserve"> dell’</w:t>
      </w:r>
      <w:r w:rsidR="00A577B9" w:rsidRPr="002F303F">
        <w:rPr>
          <w:color w:val="auto"/>
          <w:sz w:val="12"/>
          <w:szCs w:val="12"/>
        </w:rPr>
        <w:t>ARERA</w:t>
      </w:r>
      <w:r w:rsidR="00B65842" w:rsidRPr="002F303F">
        <w:rPr>
          <w:color w:val="auto"/>
          <w:sz w:val="12"/>
          <w:szCs w:val="12"/>
        </w:rPr>
        <w:t xml:space="preserve"> 104/10 “</w:t>
      </w:r>
      <w:r w:rsidRPr="002F303F">
        <w:rPr>
          <w:color w:val="auto"/>
          <w:sz w:val="12"/>
          <w:szCs w:val="12"/>
        </w:rPr>
        <w:t>Codice di condotta commerciale per la vendita di energia elettrica e di gas naturale</w:t>
      </w:r>
      <w:r w:rsidR="00B65842" w:rsidRPr="002F303F">
        <w:rPr>
          <w:color w:val="auto"/>
          <w:sz w:val="12"/>
          <w:szCs w:val="12"/>
        </w:rPr>
        <w:t xml:space="preserve"> ai clienti finali” pubblicata </w:t>
      </w:r>
      <w:r w:rsidRPr="002F303F">
        <w:rPr>
          <w:color w:val="auto"/>
          <w:sz w:val="12"/>
          <w:szCs w:val="12"/>
        </w:rPr>
        <w:t>in data 12 luglio 2010, negli importi ivi fissati e con le modalità di cui alla Delibera ARG/</w:t>
      </w:r>
      <w:proofErr w:type="spellStart"/>
      <w:r w:rsidRPr="002F303F">
        <w:rPr>
          <w:color w:val="auto"/>
          <w:sz w:val="12"/>
          <w:szCs w:val="12"/>
        </w:rPr>
        <w:t>com</w:t>
      </w:r>
      <w:proofErr w:type="spellEnd"/>
      <w:r w:rsidRPr="002F303F">
        <w:rPr>
          <w:color w:val="auto"/>
          <w:sz w:val="12"/>
          <w:szCs w:val="12"/>
        </w:rPr>
        <w:t xml:space="preserve"> 164/08 “Testo integrato della regolazione della qualità dei servizi di vendita di energia elettrica e di gas naturale”, pubblicata</w:t>
      </w:r>
      <w:r w:rsidR="00B65842" w:rsidRPr="002F303F">
        <w:rPr>
          <w:color w:val="auto"/>
          <w:sz w:val="12"/>
          <w:szCs w:val="12"/>
        </w:rPr>
        <w:t xml:space="preserve"> </w:t>
      </w:r>
      <w:r w:rsidRPr="002F303F">
        <w:rPr>
          <w:color w:val="auto"/>
          <w:sz w:val="12"/>
          <w:szCs w:val="12"/>
        </w:rPr>
        <w:t xml:space="preserve">in data 20 novembre 2008 e nella GU n. 2 del 03 gennaio 2009 e </w:t>
      </w:r>
      <w:proofErr w:type="spellStart"/>
      <w:r w:rsidRPr="002F303F">
        <w:rPr>
          <w:color w:val="auto"/>
          <w:sz w:val="12"/>
          <w:szCs w:val="12"/>
        </w:rPr>
        <w:t>s.m.i.</w:t>
      </w:r>
      <w:proofErr w:type="spellEnd"/>
    </w:p>
    <w:p w:rsidR="00747FC7" w:rsidRPr="002F303F" w:rsidRDefault="00747FC7" w:rsidP="003D43ED">
      <w:pPr>
        <w:pStyle w:val="Default"/>
        <w:jc w:val="both"/>
        <w:rPr>
          <w:color w:val="auto"/>
          <w:sz w:val="12"/>
          <w:szCs w:val="12"/>
        </w:rPr>
      </w:pPr>
      <w:r w:rsidRPr="002F303F">
        <w:rPr>
          <w:color w:val="auto"/>
          <w:sz w:val="12"/>
          <w:szCs w:val="12"/>
        </w:rPr>
        <w:t xml:space="preserve">Come previsto dall’art. 4.3 della Delibera ARG/gas 99/11 4.3, NEBRODI GAS VENDITA S.R.L. sarà tenuta a corrispondere al cliente finale un indennizzo automatico, per un importo pari a: </w:t>
      </w:r>
    </w:p>
    <w:p w:rsidR="00747FC7" w:rsidRPr="002F303F" w:rsidRDefault="00747FC7" w:rsidP="003D43ED">
      <w:pPr>
        <w:pStyle w:val="Default"/>
        <w:jc w:val="both"/>
        <w:rPr>
          <w:color w:val="auto"/>
          <w:sz w:val="12"/>
          <w:szCs w:val="12"/>
        </w:rPr>
      </w:pPr>
      <w:r w:rsidRPr="002F303F">
        <w:rPr>
          <w:color w:val="auto"/>
          <w:sz w:val="12"/>
          <w:szCs w:val="12"/>
        </w:rPr>
        <w:t xml:space="preserve">a) euro 30 (trenta) nel caso in cui la fornitura sia stata sospesa per morosità nonostante il mancato invio della comunicazione di costituzione in mora a mezzo raccomandata; </w:t>
      </w:r>
    </w:p>
    <w:p w:rsidR="00747FC7" w:rsidRPr="002F303F" w:rsidRDefault="00747FC7" w:rsidP="003D43ED">
      <w:pPr>
        <w:pStyle w:val="Default"/>
        <w:jc w:val="both"/>
        <w:rPr>
          <w:color w:val="auto"/>
          <w:sz w:val="12"/>
          <w:szCs w:val="12"/>
        </w:rPr>
      </w:pPr>
      <w:r w:rsidRPr="002F303F">
        <w:rPr>
          <w:color w:val="auto"/>
          <w:sz w:val="12"/>
          <w:szCs w:val="12"/>
        </w:rPr>
        <w:t xml:space="preserve">b) euro 20 (venti) nel caso in cui la fornitura sia stata sospesa per morosità nonostante alternativamente: </w:t>
      </w:r>
    </w:p>
    <w:p w:rsidR="00747FC7" w:rsidRPr="002F303F" w:rsidRDefault="00747FC7" w:rsidP="003D43ED">
      <w:pPr>
        <w:pStyle w:val="Default"/>
        <w:jc w:val="both"/>
        <w:rPr>
          <w:color w:val="auto"/>
          <w:sz w:val="12"/>
          <w:szCs w:val="12"/>
        </w:rPr>
      </w:pPr>
      <w:r w:rsidRPr="002F303F">
        <w:rPr>
          <w:color w:val="auto"/>
          <w:sz w:val="12"/>
          <w:szCs w:val="12"/>
        </w:rPr>
        <w:t xml:space="preserve">1. il mancato rispetto del termine ultimo entro cui il cliente è tenuto a provvedere al pagamento; </w:t>
      </w:r>
    </w:p>
    <w:p w:rsidR="00747FC7" w:rsidRPr="002F303F" w:rsidRDefault="00747FC7" w:rsidP="003D43ED">
      <w:pPr>
        <w:pStyle w:val="Default"/>
        <w:jc w:val="both"/>
        <w:rPr>
          <w:color w:val="auto"/>
          <w:sz w:val="12"/>
          <w:szCs w:val="12"/>
        </w:rPr>
      </w:pPr>
      <w:r w:rsidRPr="002F303F">
        <w:rPr>
          <w:color w:val="auto"/>
          <w:sz w:val="12"/>
          <w:szCs w:val="12"/>
        </w:rPr>
        <w:t xml:space="preserve">2. il mancato rispetto del termine massimo tra la data di emissione della comunicazione di costituzione in mora e la data di consegna al vettore postale qualora l’esercente la vendita non sia in grado di documentare la data di invio </w:t>
      </w:r>
    </w:p>
    <w:p w:rsidR="00747FC7" w:rsidRPr="002F303F" w:rsidRDefault="00747FC7" w:rsidP="003D43ED">
      <w:pPr>
        <w:autoSpaceDE w:val="0"/>
        <w:autoSpaceDN w:val="0"/>
        <w:jc w:val="both"/>
        <w:rPr>
          <w:sz w:val="12"/>
          <w:szCs w:val="12"/>
        </w:rPr>
      </w:pPr>
      <w:r w:rsidRPr="002F303F">
        <w:rPr>
          <w:sz w:val="12"/>
          <w:szCs w:val="12"/>
        </w:rPr>
        <w:t>3. il mancato rispetto del termine minimo tra la data di scadenza del termine ultimo di pagamento e la data di richiesta all’impresa distributrice di Chiusura del punto di riconsegna per sospensione della fornitura per morosità. In tali casi il cliente finale non dovrà pagare alcun ulteriore corrispettivo relativo alla sospensione o riattivazione della fornitura.</w:t>
      </w:r>
    </w:p>
    <w:p w:rsidR="00747FC7" w:rsidRPr="002F303F" w:rsidRDefault="00747FC7" w:rsidP="003D43ED">
      <w:pPr>
        <w:autoSpaceDE w:val="0"/>
        <w:autoSpaceDN w:val="0"/>
        <w:jc w:val="both"/>
        <w:rPr>
          <w:sz w:val="12"/>
          <w:szCs w:val="12"/>
        </w:rPr>
      </w:pPr>
      <w:r w:rsidRPr="002F303F">
        <w:rPr>
          <w:sz w:val="12"/>
          <w:szCs w:val="12"/>
        </w:rPr>
        <w:t>Il predetto indennizzo verrà corrisposto al cliente finale direttamente o in occasione della prima fattura utile tramite detrazione dell’importo addebitato nella medesima fattura (con indicazione di apposita causale), ovvero, qualora l’importo della prima fattura addebitata sia inferiore all’indennizzo, verrà evidenziato un credito da detrarre nelle fatturazioni successive ovvero mediante rimessa diretta. In ogni caso l’indennizzo dovrà essere corrisposto entro 8 (otto) mesi dal verificarsi della sospensione.</w:t>
      </w:r>
    </w:p>
    <w:p w:rsidR="00747FC7" w:rsidRPr="002F303F" w:rsidRDefault="00747FC7" w:rsidP="003D43ED">
      <w:pPr>
        <w:pStyle w:val="Default"/>
        <w:jc w:val="both"/>
        <w:rPr>
          <w:color w:val="auto"/>
          <w:sz w:val="12"/>
          <w:szCs w:val="12"/>
        </w:rPr>
      </w:pPr>
      <w:r w:rsidRPr="002F303F">
        <w:rPr>
          <w:color w:val="auto"/>
          <w:sz w:val="12"/>
          <w:szCs w:val="12"/>
        </w:rPr>
        <w:t>Il cliente potrà inoltrare richieste di informazioni e reclami scritti a NEBRODI GAS VENDITA S.R.L. utilizzando l’apposito modulo reclami allegato  o scaricabile dal sito internet www.nebrodigasvendita.it; tramite posta presso la sede di NEBRODI GAS VENDITA S.</w:t>
      </w:r>
      <w:r w:rsidR="000614A4" w:rsidRPr="002F303F">
        <w:rPr>
          <w:color w:val="auto"/>
          <w:sz w:val="12"/>
          <w:szCs w:val="12"/>
        </w:rPr>
        <w:t xml:space="preserve">R.L. Via Mancini, 13, </w:t>
      </w:r>
      <w:r w:rsidRPr="002F303F">
        <w:rPr>
          <w:color w:val="auto"/>
          <w:sz w:val="12"/>
          <w:szCs w:val="12"/>
        </w:rPr>
        <w:t xml:space="preserve">tramite posta elettronica all’indirizzo: info@nebrodigas.it, tramite PEC all’indirizzo: nebrodigasvendita@pec.it, presso gli uffici di zona della NEBRODI GAS VENDITA S.R.L. presenti sul territorio. NEBRODI GAS VENDITA S.R.L. fornirà risposta motivata scritta entro 30 giorni solari dal ricevimento della richiesta di informazioni oppure 40 giorni solari in caso di reclamo scritto. Ulteriori chiarimenti ai corrispettivi applicati sulla base delle allegate condizioni economiche possono essere richiesti presso gli uffici di zona di NEBRODI GAS VENDITA S.R.L. </w:t>
      </w:r>
    </w:p>
    <w:p w:rsidR="00747FC7" w:rsidRPr="002F303F" w:rsidRDefault="00747FC7" w:rsidP="003D43ED">
      <w:pPr>
        <w:pStyle w:val="Default"/>
        <w:jc w:val="both"/>
        <w:rPr>
          <w:color w:val="auto"/>
          <w:sz w:val="12"/>
          <w:szCs w:val="12"/>
        </w:rPr>
      </w:pPr>
      <w:r w:rsidRPr="002F303F">
        <w:rPr>
          <w:b/>
          <w:bCs/>
          <w:color w:val="auto"/>
          <w:sz w:val="12"/>
          <w:szCs w:val="12"/>
        </w:rPr>
        <w:t xml:space="preserve">9) DIRITTO DI RECESSO E RISOLUZIONE DEL CONTRATTO </w:t>
      </w:r>
    </w:p>
    <w:p w:rsidR="00747FC7" w:rsidRPr="002F303F" w:rsidRDefault="00747FC7" w:rsidP="003D43ED">
      <w:pPr>
        <w:pStyle w:val="Default"/>
        <w:jc w:val="both"/>
        <w:rPr>
          <w:color w:val="auto"/>
          <w:sz w:val="12"/>
          <w:szCs w:val="12"/>
        </w:rPr>
      </w:pPr>
      <w:r w:rsidRPr="002F303F">
        <w:rPr>
          <w:color w:val="auto"/>
          <w:sz w:val="12"/>
          <w:szCs w:val="12"/>
        </w:rPr>
        <w:t>Qualora il contratto sia stato stipulato fuori da locali commerciali, il cliente potrà recedere dallo stesso, senza oneri, ai sensi dell’art. 12.4 della Delibera ARG/</w:t>
      </w:r>
      <w:proofErr w:type="spellStart"/>
      <w:r w:rsidRPr="002F303F">
        <w:rPr>
          <w:color w:val="auto"/>
          <w:sz w:val="12"/>
          <w:szCs w:val="12"/>
        </w:rPr>
        <w:t>com</w:t>
      </w:r>
      <w:proofErr w:type="spellEnd"/>
      <w:r w:rsidRPr="002F303F">
        <w:rPr>
          <w:color w:val="auto"/>
          <w:sz w:val="12"/>
          <w:szCs w:val="12"/>
        </w:rPr>
        <w:t xml:space="preserve"> dell’</w:t>
      </w:r>
      <w:r w:rsidR="00A577B9" w:rsidRPr="002F303F">
        <w:rPr>
          <w:color w:val="auto"/>
          <w:sz w:val="12"/>
          <w:szCs w:val="12"/>
        </w:rPr>
        <w:t>ARERA</w:t>
      </w:r>
      <w:r w:rsidR="00664A31" w:rsidRPr="002F303F">
        <w:rPr>
          <w:color w:val="auto"/>
          <w:sz w:val="12"/>
          <w:szCs w:val="12"/>
        </w:rPr>
        <w:t xml:space="preserve"> 104/10 “</w:t>
      </w:r>
      <w:r w:rsidRPr="002F303F">
        <w:rPr>
          <w:color w:val="auto"/>
          <w:sz w:val="12"/>
          <w:szCs w:val="12"/>
        </w:rPr>
        <w:t>Codice di condotta commerciale per la vendita di energia elettrica e di gas naturale</w:t>
      </w:r>
      <w:r w:rsidR="00664A31" w:rsidRPr="002F303F">
        <w:rPr>
          <w:color w:val="auto"/>
          <w:sz w:val="12"/>
          <w:szCs w:val="12"/>
        </w:rPr>
        <w:t xml:space="preserve"> ai clienti finali” pubblicata </w:t>
      </w:r>
      <w:r w:rsidRPr="002F303F">
        <w:rPr>
          <w:color w:val="auto"/>
          <w:sz w:val="12"/>
          <w:szCs w:val="12"/>
        </w:rPr>
        <w:t>in data 12 luglio 2010, entro 10 (dieci) giorni lavorativi decorrenti dalla data di conclusione del contratto, dandone comunicazione a NEBRODI GAS VENDITA S.R.L., a mezzo di lettera raccomandata con avviso di ricevimento.</w:t>
      </w:r>
    </w:p>
    <w:p w:rsidR="00747FC7" w:rsidRPr="002F303F" w:rsidRDefault="00747FC7" w:rsidP="003D43ED">
      <w:pPr>
        <w:pStyle w:val="Default"/>
        <w:jc w:val="both"/>
        <w:rPr>
          <w:color w:val="auto"/>
          <w:sz w:val="12"/>
          <w:szCs w:val="12"/>
        </w:rPr>
      </w:pPr>
      <w:r w:rsidRPr="002F303F">
        <w:rPr>
          <w:color w:val="auto"/>
          <w:sz w:val="12"/>
          <w:szCs w:val="12"/>
        </w:rPr>
        <w:t>Qualora il contratto sia stato stipulato attraverso forme di comunicazione a distanza, il cliente potrà recedere senza oneri, ai sensi dell’art. 12.5 della Delibera ARG/</w:t>
      </w:r>
      <w:proofErr w:type="spellStart"/>
      <w:r w:rsidRPr="002F303F">
        <w:rPr>
          <w:color w:val="auto"/>
          <w:sz w:val="12"/>
          <w:szCs w:val="12"/>
        </w:rPr>
        <w:t>com</w:t>
      </w:r>
      <w:proofErr w:type="spellEnd"/>
      <w:r w:rsidRPr="002F303F">
        <w:rPr>
          <w:color w:val="auto"/>
          <w:sz w:val="12"/>
          <w:szCs w:val="12"/>
        </w:rPr>
        <w:t xml:space="preserve"> dell’</w:t>
      </w:r>
      <w:r w:rsidR="00A577B9" w:rsidRPr="002F303F">
        <w:rPr>
          <w:color w:val="auto"/>
          <w:sz w:val="12"/>
          <w:szCs w:val="12"/>
        </w:rPr>
        <w:t>ARERA</w:t>
      </w:r>
      <w:r w:rsidRPr="002F303F">
        <w:rPr>
          <w:color w:val="auto"/>
          <w:sz w:val="12"/>
          <w:szCs w:val="12"/>
        </w:rPr>
        <w:t xml:space="preserve"> 104/10, entro 10 giorni dal ricevimento del contratto, dandone comunicazione a NEBRODI GAS VENDITA S.R.L., a mezzo di lettera accomandata con avviso di ricevimento. Fatta salva prova contraria, il Contratto di fornitura si presume ricevuto trascorsi 10 giorni dall’invio effettuato da NEBRODI GAS VENDITA S.R.L.. Oltre ai casi sopra indicati, il cliente potrà recedere dal presente contratto in qualsiasi momento, dando preavviso a NEBRODI GAS VENDITA S.R.L., anche a mezzo venditore subentrante mediante raccomandata A.R., o PEC del mittente all’indirizzo e-mail nebrodigasvendita@pec.it con almeno 1 mese di anticipo. Tale preavviso decorre: </w:t>
      </w:r>
    </w:p>
    <w:p w:rsidR="00747FC7" w:rsidRPr="002F303F" w:rsidRDefault="00747FC7" w:rsidP="003D43ED">
      <w:pPr>
        <w:pStyle w:val="Default"/>
        <w:jc w:val="both"/>
        <w:rPr>
          <w:color w:val="auto"/>
          <w:sz w:val="12"/>
          <w:szCs w:val="12"/>
        </w:rPr>
      </w:pPr>
      <w:r w:rsidRPr="002F303F">
        <w:rPr>
          <w:color w:val="auto"/>
          <w:sz w:val="12"/>
          <w:szCs w:val="12"/>
        </w:rPr>
        <w:t xml:space="preserve">a) nel solo caso di recesso del cliente per cessazione della fornitura, a decorrere dalla data di ricezione della comunicazione di recesso da parte di NEBRODI GAS VENDITA S.R.L.; </w:t>
      </w:r>
    </w:p>
    <w:p w:rsidR="00747FC7" w:rsidRPr="002F303F" w:rsidRDefault="00747FC7" w:rsidP="003D43ED">
      <w:pPr>
        <w:pStyle w:val="Default"/>
        <w:jc w:val="both"/>
        <w:rPr>
          <w:color w:val="auto"/>
          <w:sz w:val="12"/>
          <w:szCs w:val="12"/>
        </w:rPr>
      </w:pPr>
      <w:r w:rsidRPr="002F303F">
        <w:rPr>
          <w:color w:val="auto"/>
          <w:sz w:val="12"/>
          <w:szCs w:val="12"/>
        </w:rPr>
        <w:t>b) negli altri casi di recesso da parte del cliente, a decorrere dal primo giorno del primo mese successivo a quello di ricevimento della comunicazione di recesso da parte di NEBRODI GAS VENDITA S.R.L..</w:t>
      </w:r>
    </w:p>
    <w:p w:rsidR="00747FC7" w:rsidRPr="002F303F" w:rsidRDefault="00747FC7" w:rsidP="003D43ED">
      <w:pPr>
        <w:pStyle w:val="Default"/>
        <w:jc w:val="both"/>
        <w:rPr>
          <w:color w:val="auto"/>
          <w:sz w:val="12"/>
          <w:szCs w:val="12"/>
        </w:rPr>
      </w:pPr>
      <w:r w:rsidRPr="002F303F">
        <w:rPr>
          <w:color w:val="auto"/>
          <w:sz w:val="12"/>
          <w:szCs w:val="12"/>
        </w:rPr>
        <w:lastRenderedPageBreak/>
        <w:t xml:space="preserve">Qualora il contratto sia concluso con un cliente del mercato libero, NEBRODI GAS VENDITA S.R.L., potrà recedere in qualsiasi momento dal presente contratto, dandone comunicazione scritta al cliente, con preavviso di sei mesi. In caso di cessazione della fornitura di gas, il cliente resta responsabile dei consumi di gas e di quant’altro dovuto qualora non provveda a richiedere a NEBRODI GAS VENDITA S.R.L. tale cessazione e qualora, pur provvedendo a richiederla, non renda possibile la rilevazione finale dei consumi e la chiusura del Contatore Gas. </w:t>
      </w:r>
    </w:p>
    <w:p w:rsidR="00747FC7" w:rsidRPr="002F303F" w:rsidRDefault="00747FC7" w:rsidP="003D43ED">
      <w:pPr>
        <w:pStyle w:val="Default"/>
        <w:jc w:val="both"/>
        <w:rPr>
          <w:color w:val="auto"/>
          <w:sz w:val="12"/>
          <w:szCs w:val="12"/>
        </w:rPr>
      </w:pPr>
      <w:r w:rsidRPr="002F303F">
        <w:rPr>
          <w:color w:val="auto"/>
          <w:sz w:val="12"/>
          <w:szCs w:val="12"/>
        </w:rPr>
        <w:t xml:space="preserve">Il contratto si risolverà per cessazione amministrativa ai sensi del precedente articolo 7 </w:t>
      </w:r>
    </w:p>
    <w:p w:rsidR="00347133" w:rsidRPr="002F303F" w:rsidRDefault="00C55E1C" w:rsidP="003D43ED">
      <w:pPr>
        <w:autoSpaceDE w:val="0"/>
        <w:autoSpaceDN w:val="0"/>
        <w:adjustRightInd w:val="0"/>
        <w:jc w:val="both"/>
        <w:rPr>
          <w:sz w:val="20"/>
          <w:szCs w:val="20"/>
        </w:rPr>
      </w:pPr>
      <w:r w:rsidRPr="002F303F">
        <w:rPr>
          <w:sz w:val="12"/>
          <w:szCs w:val="12"/>
        </w:rPr>
        <w:t>Nell’eventualità, al momento della richiesta di accesso per sostituzione della fornitura (</w:t>
      </w:r>
      <w:proofErr w:type="spellStart"/>
      <w:r w:rsidRPr="002F303F">
        <w:rPr>
          <w:sz w:val="12"/>
          <w:szCs w:val="12"/>
        </w:rPr>
        <w:t>switching</w:t>
      </w:r>
      <w:proofErr w:type="spellEnd"/>
      <w:r w:rsidRPr="002F303F">
        <w:rPr>
          <w:sz w:val="12"/>
          <w:szCs w:val="12"/>
        </w:rPr>
        <w:t xml:space="preserve">), </w:t>
      </w:r>
      <w:r w:rsidR="0079123A" w:rsidRPr="002F303F">
        <w:rPr>
          <w:sz w:val="12"/>
          <w:szCs w:val="12"/>
        </w:rPr>
        <w:t xml:space="preserve">la Società di distribuzione comunichi </w:t>
      </w:r>
      <w:r w:rsidRPr="002F303F">
        <w:rPr>
          <w:sz w:val="12"/>
          <w:szCs w:val="12"/>
        </w:rPr>
        <w:t xml:space="preserve">che il punto di riconsegna </w:t>
      </w:r>
      <w:r w:rsidR="0079123A" w:rsidRPr="002F303F">
        <w:rPr>
          <w:sz w:val="12"/>
          <w:szCs w:val="12"/>
        </w:rPr>
        <w:t>risulta</w:t>
      </w:r>
      <w:r w:rsidRPr="002F303F">
        <w:rPr>
          <w:sz w:val="12"/>
          <w:szCs w:val="12"/>
        </w:rPr>
        <w:t xml:space="preserve"> chiuso per sospensione della fornitura per morosità, </w:t>
      </w:r>
      <w:r w:rsidR="0079123A" w:rsidRPr="002F303F">
        <w:rPr>
          <w:sz w:val="12"/>
          <w:szCs w:val="12"/>
        </w:rPr>
        <w:t xml:space="preserve">la Nebrodi Gas Vendita srl </w:t>
      </w:r>
      <w:r w:rsidRPr="002F303F">
        <w:rPr>
          <w:sz w:val="12"/>
          <w:szCs w:val="12"/>
        </w:rPr>
        <w:t xml:space="preserve">può non dare seguito </w:t>
      </w:r>
      <w:r w:rsidR="00347133" w:rsidRPr="002F303F">
        <w:rPr>
          <w:sz w:val="12"/>
          <w:szCs w:val="12"/>
        </w:rPr>
        <w:t>all’esecuzione al contratto di vendita e gli effetti del recesso dal contratto con il precedente venditore verranno meno.</w:t>
      </w:r>
    </w:p>
    <w:p w:rsidR="00747FC7" w:rsidRPr="002F303F" w:rsidRDefault="00747FC7" w:rsidP="003D43ED">
      <w:pPr>
        <w:pStyle w:val="Default"/>
        <w:jc w:val="both"/>
        <w:rPr>
          <w:color w:val="auto"/>
          <w:sz w:val="12"/>
          <w:szCs w:val="12"/>
        </w:rPr>
      </w:pPr>
      <w:r w:rsidRPr="002F303F">
        <w:rPr>
          <w:b/>
          <w:bCs/>
          <w:color w:val="auto"/>
          <w:sz w:val="12"/>
          <w:szCs w:val="12"/>
        </w:rPr>
        <w:t xml:space="preserve">10) VARIAZIONI UNILATERALI DELLE CONDIZIONI CONTRATTUALI </w:t>
      </w:r>
    </w:p>
    <w:p w:rsidR="00747FC7" w:rsidRPr="002F303F" w:rsidRDefault="00747FC7" w:rsidP="003D43ED">
      <w:pPr>
        <w:pStyle w:val="Default"/>
        <w:jc w:val="both"/>
        <w:rPr>
          <w:color w:val="auto"/>
          <w:sz w:val="12"/>
          <w:szCs w:val="12"/>
        </w:rPr>
      </w:pPr>
      <w:r w:rsidRPr="002F303F">
        <w:rPr>
          <w:color w:val="auto"/>
          <w:sz w:val="12"/>
          <w:szCs w:val="12"/>
        </w:rPr>
        <w:t xml:space="preserve">Si intendono automaticamente inserite nella Proposta contrattuale, con abrogazione delle clausole che risultassero incompatibili, eventuali condizioni imposte dalla legge ovvero da provvedimenti delle autorità pubbliche competenti. </w:t>
      </w:r>
    </w:p>
    <w:p w:rsidR="00BD4A32" w:rsidRPr="002F303F" w:rsidRDefault="00747FC7" w:rsidP="003D43ED">
      <w:pPr>
        <w:pStyle w:val="Default"/>
        <w:jc w:val="both"/>
        <w:rPr>
          <w:color w:val="auto"/>
          <w:sz w:val="12"/>
          <w:szCs w:val="12"/>
        </w:rPr>
      </w:pPr>
      <w:r w:rsidRPr="002F303F">
        <w:rPr>
          <w:color w:val="auto"/>
          <w:sz w:val="12"/>
          <w:szCs w:val="12"/>
        </w:rPr>
        <w:t xml:space="preserve">Fatto salvo quanto precede, NEBRODI GAS VENDITA S.R.L. si riserva di modificare unilateralmente per “giustificato motivo” le condizioni contrattuali, incluse quelle economiche. </w:t>
      </w:r>
    </w:p>
    <w:p w:rsidR="00747FC7" w:rsidRPr="002F303F" w:rsidRDefault="00747FC7" w:rsidP="003D43ED">
      <w:pPr>
        <w:pStyle w:val="Default"/>
        <w:jc w:val="both"/>
        <w:rPr>
          <w:color w:val="auto"/>
          <w:sz w:val="12"/>
          <w:szCs w:val="12"/>
        </w:rPr>
      </w:pPr>
      <w:r w:rsidRPr="002F303F">
        <w:rPr>
          <w:color w:val="auto"/>
          <w:sz w:val="12"/>
          <w:szCs w:val="12"/>
        </w:rPr>
        <w:t>Ai fini della presente proposta contrattuale si intende per “giustificato motivo” il mutamento del contesto legislativo o regolamentare di riferimento, così come mutamenti dei presupposti economici utilizzati da NEBRODI GAS VENDITA S.R.L. per la formulazione delle condizioni economiche e contrattuali. In tal caso, salvo che norme di legge o provvedimenti amministrativi non impongano o comportino una data di applicazione anticipata, l’esercente la vendita ne dà comunicazione in forma scritta  a ciascuno dei clienti finali interessati in modo che tale comunicazione pervenga ai clienti finali stessi con un preavviso non inferiore a 3 mesi rispetto alla decorrenza delle variazioni, considerandosi decorrente il suddetto termine dal primo giorno del mese successivo a quello di ricevimento da parte del cliente stesso. Fatta salva prova contraria, la suddetta comunicazione si presume ricevuta trascorsi 10 giorni dall’invio effettuato da parte dell’esercente la vendita.</w:t>
      </w:r>
    </w:p>
    <w:p w:rsidR="00747FC7" w:rsidRPr="002F303F" w:rsidRDefault="00747FC7" w:rsidP="003D43ED">
      <w:pPr>
        <w:pStyle w:val="Default"/>
        <w:jc w:val="both"/>
        <w:rPr>
          <w:color w:val="auto"/>
          <w:sz w:val="12"/>
          <w:szCs w:val="12"/>
        </w:rPr>
      </w:pPr>
      <w:r w:rsidRPr="002F303F">
        <w:rPr>
          <w:color w:val="auto"/>
          <w:sz w:val="12"/>
          <w:szCs w:val="12"/>
        </w:rPr>
        <w:t>Tali variazioni dovranno comunque essere fatte nel rispetto delle norme poste dall’</w:t>
      </w:r>
      <w:r w:rsidR="00A577B9" w:rsidRPr="002F303F">
        <w:rPr>
          <w:color w:val="auto"/>
          <w:sz w:val="12"/>
          <w:szCs w:val="12"/>
        </w:rPr>
        <w:t>ARERA</w:t>
      </w:r>
      <w:r w:rsidRPr="002F303F">
        <w:rPr>
          <w:color w:val="auto"/>
          <w:sz w:val="12"/>
          <w:szCs w:val="12"/>
        </w:rPr>
        <w:t xml:space="preserve"> a tutela dei Clienti. </w:t>
      </w:r>
    </w:p>
    <w:p w:rsidR="00747FC7" w:rsidRPr="002F303F" w:rsidRDefault="00747FC7" w:rsidP="003D43ED">
      <w:pPr>
        <w:pStyle w:val="Default"/>
        <w:jc w:val="both"/>
        <w:rPr>
          <w:color w:val="auto"/>
          <w:sz w:val="12"/>
          <w:szCs w:val="12"/>
        </w:rPr>
      </w:pPr>
      <w:r w:rsidRPr="002F303F">
        <w:rPr>
          <w:color w:val="auto"/>
          <w:sz w:val="12"/>
          <w:szCs w:val="12"/>
        </w:rPr>
        <w:t>Ai sensi dell’art. 13.3 della Delibera ARG/</w:t>
      </w:r>
      <w:proofErr w:type="spellStart"/>
      <w:r w:rsidRPr="002F303F">
        <w:rPr>
          <w:color w:val="auto"/>
          <w:sz w:val="12"/>
          <w:szCs w:val="12"/>
        </w:rPr>
        <w:t>com</w:t>
      </w:r>
      <w:proofErr w:type="spellEnd"/>
      <w:r w:rsidRPr="002F303F">
        <w:rPr>
          <w:color w:val="auto"/>
          <w:sz w:val="12"/>
          <w:szCs w:val="12"/>
        </w:rPr>
        <w:t xml:space="preserve"> dell’</w:t>
      </w:r>
      <w:r w:rsidR="00A577B9" w:rsidRPr="002F303F">
        <w:rPr>
          <w:color w:val="auto"/>
          <w:sz w:val="12"/>
          <w:szCs w:val="12"/>
        </w:rPr>
        <w:t>ARERA</w:t>
      </w:r>
      <w:r w:rsidRPr="002F303F">
        <w:rPr>
          <w:color w:val="auto"/>
          <w:sz w:val="12"/>
          <w:szCs w:val="12"/>
        </w:rPr>
        <w:t xml:space="preserve"> 104/10,  la comunicazione delle variazioni unilaterali conterrà, tra l’altro, per ciascuna delle modifiche proposte, le seguenti informazioni: </w:t>
      </w:r>
    </w:p>
    <w:p w:rsidR="00747FC7" w:rsidRPr="002F303F" w:rsidRDefault="00747FC7" w:rsidP="003D43ED">
      <w:pPr>
        <w:pStyle w:val="Default"/>
        <w:jc w:val="both"/>
        <w:rPr>
          <w:color w:val="auto"/>
          <w:sz w:val="12"/>
          <w:szCs w:val="12"/>
        </w:rPr>
      </w:pPr>
      <w:r w:rsidRPr="002F303F">
        <w:rPr>
          <w:color w:val="auto"/>
          <w:sz w:val="12"/>
          <w:szCs w:val="12"/>
        </w:rPr>
        <w:t xml:space="preserve">a) il testo completo di ciascuna delle disposizioni contrattuali risultante dalla modifica proposta; </w:t>
      </w:r>
    </w:p>
    <w:p w:rsidR="00747FC7" w:rsidRPr="002F303F" w:rsidRDefault="00747FC7" w:rsidP="003D43ED">
      <w:pPr>
        <w:pStyle w:val="Default"/>
        <w:jc w:val="both"/>
        <w:rPr>
          <w:color w:val="auto"/>
          <w:sz w:val="12"/>
          <w:szCs w:val="12"/>
        </w:rPr>
      </w:pPr>
      <w:r w:rsidRPr="002F303F">
        <w:rPr>
          <w:color w:val="auto"/>
          <w:sz w:val="12"/>
          <w:szCs w:val="12"/>
        </w:rPr>
        <w:t xml:space="preserve">b) l’illustrazione chiara, completa e comprensibile dei contenuti e degli effetti della variazione proposta; </w:t>
      </w:r>
    </w:p>
    <w:p w:rsidR="00747FC7" w:rsidRPr="002F303F" w:rsidRDefault="00747FC7" w:rsidP="003D43ED">
      <w:pPr>
        <w:pStyle w:val="Default"/>
        <w:jc w:val="both"/>
        <w:rPr>
          <w:color w:val="auto"/>
          <w:sz w:val="12"/>
          <w:szCs w:val="12"/>
        </w:rPr>
      </w:pPr>
      <w:r w:rsidRPr="002F303F">
        <w:rPr>
          <w:color w:val="auto"/>
          <w:sz w:val="12"/>
          <w:szCs w:val="12"/>
        </w:rPr>
        <w:t xml:space="preserve">c) la decorrenza della variazione proposta; </w:t>
      </w:r>
    </w:p>
    <w:p w:rsidR="00747FC7" w:rsidRPr="002F303F" w:rsidRDefault="00747FC7" w:rsidP="003D43ED">
      <w:pPr>
        <w:pStyle w:val="Default"/>
        <w:jc w:val="both"/>
        <w:rPr>
          <w:color w:val="auto"/>
          <w:sz w:val="12"/>
          <w:szCs w:val="12"/>
        </w:rPr>
      </w:pPr>
      <w:r w:rsidRPr="002F303F">
        <w:rPr>
          <w:color w:val="auto"/>
          <w:sz w:val="12"/>
          <w:szCs w:val="12"/>
        </w:rPr>
        <w:t xml:space="preserve">d) i termini e le modalità per la comunicazione da parte del cliente dell’eventuale volontà di esercitare il recesso senza oneri. </w:t>
      </w:r>
    </w:p>
    <w:p w:rsidR="00747FC7" w:rsidRPr="002F303F" w:rsidRDefault="00747FC7" w:rsidP="003D43ED">
      <w:pPr>
        <w:pStyle w:val="Default"/>
        <w:jc w:val="both"/>
        <w:rPr>
          <w:color w:val="auto"/>
          <w:sz w:val="12"/>
          <w:szCs w:val="12"/>
        </w:rPr>
      </w:pPr>
      <w:r w:rsidRPr="002F303F">
        <w:rPr>
          <w:color w:val="auto"/>
          <w:sz w:val="12"/>
          <w:szCs w:val="12"/>
        </w:rPr>
        <w:t xml:space="preserve">Le suddette informazioni non verranno trasmesse all’interno dei documenti di fatturazione o congiuntamente agli stessi, salvo il caso in cui la variazione unilaterale si configuri come una riduzione dei corrispettivi originariamente previsti in proposta contrattuale. </w:t>
      </w:r>
    </w:p>
    <w:p w:rsidR="00747FC7" w:rsidRPr="002F303F" w:rsidRDefault="00747FC7" w:rsidP="003D43ED">
      <w:pPr>
        <w:pStyle w:val="Default"/>
        <w:jc w:val="both"/>
        <w:rPr>
          <w:color w:val="auto"/>
          <w:sz w:val="12"/>
          <w:szCs w:val="12"/>
        </w:rPr>
      </w:pPr>
      <w:r w:rsidRPr="002F303F">
        <w:rPr>
          <w:color w:val="auto"/>
          <w:sz w:val="12"/>
          <w:szCs w:val="12"/>
        </w:rPr>
        <w:t xml:space="preserve">Entro 10 giorni dal ricevimento della variazione, il cliente potrà recedere dal contratto, dandone comunicazione scritta, mediante raccomandata A.R. a NEBRODI GAS VENDITA S.R.L.. </w:t>
      </w:r>
    </w:p>
    <w:p w:rsidR="00747FC7" w:rsidRPr="002F303F" w:rsidRDefault="00747FC7" w:rsidP="003D43ED">
      <w:pPr>
        <w:pStyle w:val="Default"/>
        <w:jc w:val="both"/>
        <w:rPr>
          <w:color w:val="auto"/>
          <w:sz w:val="12"/>
          <w:szCs w:val="12"/>
        </w:rPr>
      </w:pPr>
      <w:r w:rsidRPr="002F303F">
        <w:rPr>
          <w:color w:val="auto"/>
          <w:sz w:val="12"/>
          <w:szCs w:val="12"/>
        </w:rPr>
        <w:t xml:space="preserve">Resta inteso che in mancanza di manifestazione della volontà di recedere, la variazione al contratto produrrà automaticamente effetto dalla data di decorrenza della stessa. </w:t>
      </w:r>
    </w:p>
    <w:p w:rsidR="00747FC7" w:rsidRPr="002F303F" w:rsidRDefault="00747FC7" w:rsidP="003D43ED">
      <w:pPr>
        <w:pStyle w:val="Default"/>
        <w:jc w:val="both"/>
        <w:rPr>
          <w:color w:val="auto"/>
          <w:sz w:val="12"/>
          <w:szCs w:val="12"/>
        </w:rPr>
      </w:pPr>
      <w:r w:rsidRPr="002F303F">
        <w:rPr>
          <w:b/>
          <w:bCs/>
          <w:color w:val="auto"/>
          <w:sz w:val="12"/>
          <w:szCs w:val="12"/>
        </w:rPr>
        <w:t xml:space="preserve">11) CESSIONE </w:t>
      </w:r>
    </w:p>
    <w:p w:rsidR="00747FC7" w:rsidRPr="002F303F" w:rsidRDefault="00747FC7" w:rsidP="003D43ED">
      <w:pPr>
        <w:pStyle w:val="Default"/>
        <w:jc w:val="both"/>
        <w:rPr>
          <w:color w:val="auto"/>
          <w:sz w:val="12"/>
          <w:szCs w:val="12"/>
        </w:rPr>
      </w:pPr>
      <w:r w:rsidRPr="002F303F">
        <w:rPr>
          <w:color w:val="auto"/>
          <w:sz w:val="12"/>
          <w:szCs w:val="12"/>
        </w:rPr>
        <w:t xml:space="preserve">Il cliente acconsente espressamente, ex art.1406 Codice Civile, che NEBRODI GAS VENDITA S.R.L. possa cedere ad altra società, debitamente autorizzata e qualificata, il presente contratto, il quale pertanto continuerà a produrre effetti in ogni sua parte, in capo al nuovo fornitore. </w:t>
      </w:r>
    </w:p>
    <w:p w:rsidR="00747FC7" w:rsidRPr="002F303F" w:rsidRDefault="00747FC7" w:rsidP="003D43ED">
      <w:pPr>
        <w:pStyle w:val="Default"/>
        <w:jc w:val="both"/>
        <w:rPr>
          <w:color w:val="auto"/>
          <w:sz w:val="12"/>
          <w:szCs w:val="12"/>
        </w:rPr>
      </w:pPr>
      <w:r w:rsidRPr="002F303F">
        <w:rPr>
          <w:color w:val="auto"/>
          <w:sz w:val="12"/>
          <w:szCs w:val="12"/>
        </w:rPr>
        <w:t xml:space="preserve">In caso di cessione a terzi da parte del cliente, come pure di utilizzo del gas per scopi diversi rispetto a quelli indicati o di indebito prelievo, NEBRODI GAS VENDITA S.R.L. potrà sospendere la fornitura, risolvere il contratto e ottenere il risarcimento di ogni danno eventualmente subito, fermo il dovere di denunciare il comportamento del cliente, qualora questo integri gli estremi di reato, perseguibile penalmente. </w:t>
      </w:r>
    </w:p>
    <w:p w:rsidR="00747FC7" w:rsidRPr="002F303F" w:rsidRDefault="00747FC7" w:rsidP="003D43ED">
      <w:pPr>
        <w:pStyle w:val="Default"/>
        <w:jc w:val="both"/>
        <w:rPr>
          <w:color w:val="auto"/>
          <w:sz w:val="12"/>
          <w:szCs w:val="12"/>
        </w:rPr>
      </w:pPr>
      <w:r w:rsidRPr="002F303F">
        <w:rPr>
          <w:b/>
          <w:bCs/>
          <w:color w:val="auto"/>
          <w:sz w:val="12"/>
          <w:szCs w:val="12"/>
        </w:rPr>
        <w:t xml:space="preserve">12) FORO COMPETENTE </w:t>
      </w:r>
    </w:p>
    <w:p w:rsidR="00747FC7" w:rsidRPr="002F303F" w:rsidRDefault="00747FC7" w:rsidP="003D43ED">
      <w:pPr>
        <w:pStyle w:val="Default"/>
        <w:jc w:val="both"/>
        <w:rPr>
          <w:color w:val="auto"/>
          <w:sz w:val="12"/>
          <w:szCs w:val="12"/>
        </w:rPr>
      </w:pPr>
      <w:r w:rsidRPr="002F303F">
        <w:rPr>
          <w:color w:val="auto"/>
          <w:sz w:val="12"/>
          <w:szCs w:val="12"/>
        </w:rPr>
        <w:t>Per qualsiasi controversia che dovesse sorgere tra cliente e NEBRODI GAS VENDITA S.R.L., sarà competente il Foro del cliente e si applicheranno le disposizioni del Codice di Procedura Civile, salvo diversa competenza dell’</w:t>
      </w:r>
      <w:r w:rsidR="00A577B9" w:rsidRPr="002F303F">
        <w:rPr>
          <w:color w:val="auto"/>
          <w:sz w:val="12"/>
          <w:szCs w:val="12"/>
        </w:rPr>
        <w:t>ARERA</w:t>
      </w:r>
      <w:r w:rsidRPr="002F303F">
        <w:rPr>
          <w:color w:val="auto"/>
          <w:sz w:val="12"/>
          <w:szCs w:val="12"/>
        </w:rPr>
        <w:t xml:space="preserve">. </w:t>
      </w:r>
    </w:p>
    <w:p w:rsidR="00747FC7" w:rsidRPr="002F303F" w:rsidRDefault="00747FC7" w:rsidP="003D43ED">
      <w:pPr>
        <w:autoSpaceDE w:val="0"/>
        <w:autoSpaceDN w:val="0"/>
        <w:adjustRightInd w:val="0"/>
        <w:jc w:val="both"/>
        <w:rPr>
          <w:sz w:val="12"/>
          <w:szCs w:val="12"/>
        </w:rPr>
      </w:pPr>
      <w:r w:rsidRPr="002F303F">
        <w:rPr>
          <w:b/>
          <w:bCs/>
          <w:sz w:val="12"/>
          <w:szCs w:val="12"/>
        </w:rPr>
        <w:t xml:space="preserve">13) CONDIZIONI ECONOMICHE DI FORNITURA. </w:t>
      </w:r>
      <w:r w:rsidRPr="002F303F">
        <w:rPr>
          <w:sz w:val="12"/>
          <w:szCs w:val="12"/>
        </w:rPr>
        <w:t>Le Condizioni economiche di fornitura per il cliente in regime di tutela sono state fissate dall’</w:t>
      </w:r>
      <w:r w:rsidR="00A577B9" w:rsidRPr="002F303F">
        <w:rPr>
          <w:sz w:val="12"/>
          <w:szCs w:val="12"/>
        </w:rPr>
        <w:t>ARERA</w:t>
      </w:r>
      <w:r w:rsidRPr="002F303F">
        <w:rPr>
          <w:sz w:val="12"/>
          <w:szCs w:val="12"/>
        </w:rPr>
        <w:t xml:space="preserve"> con deliberazione 28 maggio 2009 ARG/gas 64/09, “Approvazione del Testo integrato delle attività di vendita al dettaglio di gas naturale e gas diversi da gas naturale distribuiti a mezzo di reti urbane (TIVG)”, pubblicata sul sito www.autorita.energia.it in data 04/06/2009. </w:t>
      </w:r>
      <w:r w:rsidRPr="002F303F">
        <w:rPr>
          <w:b/>
          <w:bCs/>
          <w:sz w:val="12"/>
          <w:szCs w:val="12"/>
        </w:rPr>
        <w:t xml:space="preserve">Servizi di vendita. </w:t>
      </w:r>
      <w:r w:rsidRPr="002F303F">
        <w:rPr>
          <w:sz w:val="12"/>
          <w:szCs w:val="12"/>
        </w:rPr>
        <w:t xml:space="preserve">Fanno parte dei servizi di vendita le seguenti voci di costo di cui alla delibera </w:t>
      </w:r>
      <w:r w:rsidR="00A577B9" w:rsidRPr="002F303F">
        <w:rPr>
          <w:sz w:val="12"/>
          <w:szCs w:val="12"/>
        </w:rPr>
        <w:t>ARERA</w:t>
      </w:r>
      <w:r w:rsidRPr="002F303F">
        <w:rPr>
          <w:sz w:val="12"/>
          <w:szCs w:val="12"/>
        </w:rPr>
        <w:t xml:space="preserve">196/2013/R/GAS </w:t>
      </w:r>
    </w:p>
    <w:p w:rsidR="00747FC7" w:rsidRPr="002F303F" w:rsidRDefault="00747FC7" w:rsidP="003D43ED">
      <w:pPr>
        <w:autoSpaceDE w:val="0"/>
        <w:autoSpaceDN w:val="0"/>
        <w:adjustRightInd w:val="0"/>
        <w:jc w:val="both"/>
        <w:rPr>
          <w:sz w:val="12"/>
          <w:szCs w:val="12"/>
        </w:rPr>
      </w:pPr>
      <w:r w:rsidRPr="002F303F">
        <w:rPr>
          <w:sz w:val="12"/>
          <w:szCs w:val="12"/>
        </w:rPr>
        <w:t xml:space="preserve">-Componente </w:t>
      </w:r>
      <w:r w:rsidRPr="002F303F">
        <w:rPr>
          <w:b/>
          <w:bCs/>
          <w:sz w:val="12"/>
          <w:szCs w:val="12"/>
        </w:rPr>
        <w:t xml:space="preserve">CCR </w:t>
      </w:r>
      <w:r w:rsidRPr="002F303F">
        <w:rPr>
          <w:sz w:val="12"/>
          <w:szCs w:val="12"/>
        </w:rPr>
        <w:t xml:space="preserve">è la componente, espressa in euro/GJ, a copertura dei costi delle attività connesse alle modalità di approvvigionamento del gas naturale all’ingrosso, compreso il relativo rischio; </w:t>
      </w:r>
    </w:p>
    <w:p w:rsidR="00747FC7" w:rsidRPr="002F303F" w:rsidRDefault="00747FC7" w:rsidP="003D43ED">
      <w:pPr>
        <w:autoSpaceDE w:val="0"/>
        <w:autoSpaceDN w:val="0"/>
        <w:adjustRightInd w:val="0"/>
        <w:jc w:val="both"/>
        <w:rPr>
          <w:sz w:val="12"/>
          <w:szCs w:val="12"/>
        </w:rPr>
      </w:pPr>
      <w:r w:rsidRPr="002F303F">
        <w:rPr>
          <w:sz w:val="12"/>
          <w:szCs w:val="12"/>
        </w:rPr>
        <w:t xml:space="preserve">-Componente </w:t>
      </w:r>
      <w:r w:rsidRPr="002F303F">
        <w:rPr>
          <w:b/>
          <w:bCs/>
          <w:sz w:val="12"/>
          <w:szCs w:val="12"/>
        </w:rPr>
        <w:t xml:space="preserve">CMEM,t </w:t>
      </w:r>
      <w:r w:rsidRPr="002F303F">
        <w:rPr>
          <w:sz w:val="12"/>
          <w:szCs w:val="12"/>
        </w:rPr>
        <w:t xml:space="preserve">è la componente, espressa in euro/GJ, a copertura dei costi di approvvigionamento del gas naturale nei mercati all’ingrosso; </w:t>
      </w:r>
    </w:p>
    <w:p w:rsidR="00747FC7" w:rsidRPr="002F303F" w:rsidRDefault="00747FC7" w:rsidP="003D43ED">
      <w:pPr>
        <w:autoSpaceDE w:val="0"/>
        <w:autoSpaceDN w:val="0"/>
        <w:adjustRightInd w:val="0"/>
        <w:jc w:val="both"/>
        <w:rPr>
          <w:sz w:val="12"/>
          <w:szCs w:val="12"/>
        </w:rPr>
      </w:pPr>
      <w:r w:rsidRPr="002F303F">
        <w:rPr>
          <w:sz w:val="12"/>
          <w:szCs w:val="12"/>
        </w:rPr>
        <w:t xml:space="preserve">-Componente </w:t>
      </w:r>
      <w:r w:rsidRPr="002F303F">
        <w:rPr>
          <w:b/>
          <w:bCs/>
          <w:sz w:val="12"/>
          <w:szCs w:val="12"/>
        </w:rPr>
        <w:t>GRAD</w:t>
      </w:r>
      <w:r w:rsidRPr="002F303F">
        <w:rPr>
          <w:sz w:val="12"/>
          <w:szCs w:val="12"/>
        </w:rPr>
        <w:t xml:space="preserve">, espressa in euro/Smc, per la gradualità nell’applicazione della riforma delle condizioni economiche del servizio di tutela; </w:t>
      </w:r>
    </w:p>
    <w:p w:rsidR="00747FC7" w:rsidRPr="002F303F" w:rsidRDefault="00747FC7" w:rsidP="003D43ED">
      <w:pPr>
        <w:autoSpaceDE w:val="0"/>
        <w:autoSpaceDN w:val="0"/>
        <w:adjustRightInd w:val="0"/>
        <w:jc w:val="both"/>
        <w:rPr>
          <w:sz w:val="12"/>
          <w:szCs w:val="12"/>
        </w:rPr>
      </w:pPr>
      <w:r w:rsidRPr="002F303F">
        <w:rPr>
          <w:sz w:val="12"/>
          <w:szCs w:val="12"/>
        </w:rPr>
        <w:t xml:space="preserve">-Componente </w:t>
      </w:r>
      <w:r w:rsidRPr="002F303F">
        <w:rPr>
          <w:b/>
          <w:bCs/>
          <w:sz w:val="12"/>
          <w:szCs w:val="12"/>
        </w:rPr>
        <w:t xml:space="preserve">QOA </w:t>
      </w:r>
      <w:r w:rsidRPr="002F303F">
        <w:rPr>
          <w:sz w:val="12"/>
          <w:szCs w:val="12"/>
        </w:rPr>
        <w:t>relativa ad eventuali oneri aggiuntivi introdotti e definiti dall’</w:t>
      </w:r>
      <w:r w:rsidR="00A577B9" w:rsidRPr="002F303F">
        <w:rPr>
          <w:sz w:val="12"/>
          <w:szCs w:val="12"/>
        </w:rPr>
        <w:t>ARERA</w:t>
      </w:r>
      <w:r w:rsidRPr="002F303F">
        <w:rPr>
          <w:sz w:val="12"/>
          <w:szCs w:val="12"/>
        </w:rPr>
        <w:t xml:space="preserve">; </w:t>
      </w:r>
    </w:p>
    <w:p w:rsidR="00747FC7" w:rsidRPr="002F303F" w:rsidRDefault="00747FC7" w:rsidP="003D43ED">
      <w:pPr>
        <w:autoSpaceDE w:val="0"/>
        <w:autoSpaceDN w:val="0"/>
        <w:adjustRightInd w:val="0"/>
        <w:jc w:val="both"/>
        <w:rPr>
          <w:sz w:val="12"/>
          <w:szCs w:val="12"/>
        </w:rPr>
      </w:pPr>
      <w:r w:rsidRPr="002F303F">
        <w:rPr>
          <w:sz w:val="12"/>
          <w:szCs w:val="12"/>
        </w:rPr>
        <w:t xml:space="preserve">-Componente </w:t>
      </w:r>
      <w:r w:rsidRPr="002F303F">
        <w:rPr>
          <w:b/>
          <w:bCs/>
          <w:sz w:val="12"/>
          <w:szCs w:val="12"/>
        </w:rPr>
        <w:t xml:space="preserve">QVD </w:t>
      </w:r>
      <w:r w:rsidRPr="002F303F">
        <w:rPr>
          <w:sz w:val="12"/>
          <w:szCs w:val="12"/>
        </w:rPr>
        <w:t xml:space="preserve">relativa alla commercializzazione della vendita al dettaglio nelle due componenti fissa (€/PDR/anno) e variabile (euro/Smc); </w:t>
      </w:r>
    </w:p>
    <w:p w:rsidR="00747FC7" w:rsidRPr="002F303F" w:rsidRDefault="00747FC7" w:rsidP="003D43ED">
      <w:pPr>
        <w:autoSpaceDE w:val="0"/>
        <w:autoSpaceDN w:val="0"/>
        <w:adjustRightInd w:val="0"/>
        <w:jc w:val="both"/>
        <w:rPr>
          <w:sz w:val="12"/>
          <w:szCs w:val="12"/>
        </w:rPr>
      </w:pPr>
      <w:r w:rsidRPr="002F303F">
        <w:rPr>
          <w:sz w:val="12"/>
          <w:szCs w:val="12"/>
        </w:rPr>
        <w:t xml:space="preserve">- Componente </w:t>
      </w:r>
      <w:r w:rsidRPr="002F303F">
        <w:rPr>
          <w:b/>
          <w:bCs/>
          <w:sz w:val="12"/>
          <w:szCs w:val="12"/>
        </w:rPr>
        <w:t xml:space="preserve">CPR </w:t>
      </w:r>
      <w:r w:rsidRPr="002F303F">
        <w:rPr>
          <w:sz w:val="12"/>
          <w:szCs w:val="12"/>
        </w:rPr>
        <w:t xml:space="preserve">espressa in euro/Smc , relativa agli incentivi per la rinegoziazione dei contratti </w:t>
      </w:r>
      <w:proofErr w:type="spellStart"/>
      <w:r w:rsidRPr="002F303F">
        <w:rPr>
          <w:sz w:val="12"/>
          <w:szCs w:val="12"/>
        </w:rPr>
        <w:t>ToP</w:t>
      </w:r>
      <w:proofErr w:type="spellEnd"/>
      <w:r w:rsidRPr="002F303F">
        <w:rPr>
          <w:sz w:val="12"/>
          <w:szCs w:val="12"/>
        </w:rPr>
        <w:t xml:space="preserve"> </w:t>
      </w:r>
    </w:p>
    <w:p w:rsidR="00747FC7" w:rsidRPr="002F303F" w:rsidRDefault="00747FC7" w:rsidP="003D43ED">
      <w:pPr>
        <w:autoSpaceDE w:val="0"/>
        <w:autoSpaceDN w:val="0"/>
        <w:adjustRightInd w:val="0"/>
        <w:jc w:val="both"/>
        <w:rPr>
          <w:sz w:val="12"/>
          <w:szCs w:val="12"/>
        </w:rPr>
      </w:pPr>
      <w:r w:rsidRPr="002F303F">
        <w:rPr>
          <w:b/>
          <w:bCs/>
          <w:sz w:val="12"/>
          <w:szCs w:val="12"/>
        </w:rPr>
        <w:t xml:space="preserve">Servizi di rete </w:t>
      </w:r>
      <w:r w:rsidRPr="002F303F">
        <w:rPr>
          <w:sz w:val="12"/>
          <w:szCs w:val="12"/>
        </w:rPr>
        <w:t xml:space="preserve">Fanno parte dei servizi di rete costi e oneri sostenuti da NEBRODI GAS VENDITA S.R.L per il trasporto, lo stoccaggio, qualora previsto, e la misura del gas nei confronti delle imprese di trasporto e distribuzione. Fra essi la componente </w:t>
      </w:r>
      <w:proofErr w:type="spellStart"/>
      <w:r w:rsidRPr="002F303F">
        <w:rPr>
          <w:b/>
          <w:bCs/>
          <w:sz w:val="12"/>
          <w:szCs w:val="12"/>
        </w:rPr>
        <w:t>QTi</w:t>
      </w:r>
      <w:proofErr w:type="spellEnd"/>
      <w:r w:rsidRPr="002F303F">
        <w:rPr>
          <w:b/>
          <w:bCs/>
          <w:sz w:val="12"/>
          <w:szCs w:val="12"/>
        </w:rPr>
        <w:t xml:space="preserve">,t </w:t>
      </w:r>
      <w:r w:rsidRPr="002F303F">
        <w:rPr>
          <w:sz w:val="12"/>
          <w:szCs w:val="12"/>
        </w:rPr>
        <w:t xml:space="preserve">che per ciascun ambito tariffario i è la componente, espressa in euro/GJ, relativa al servizio di trasporto del gas naturale dal PSV al punto di riconsegna della rete di trasporto). </w:t>
      </w:r>
    </w:p>
    <w:p w:rsidR="00747FC7" w:rsidRPr="002F303F" w:rsidRDefault="00747FC7" w:rsidP="003D43ED">
      <w:pPr>
        <w:autoSpaceDE w:val="0"/>
        <w:autoSpaceDN w:val="0"/>
        <w:adjustRightInd w:val="0"/>
        <w:jc w:val="both"/>
        <w:rPr>
          <w:sz w:val="12"/>
          <w:szCs w:val="12"/>
        </w:rPr>
      </w:pPr>
      <w:r w:rsidRPr="002F303F">
        <w:rPr>
          <w:sz w:val="12"/>
          <w:szCs w:val="12"/>
        </w:rPr>
        <w:t xml:space="preserve">Saranno inoltre fatturati al cliente oneri, corrispettivi, componenti tariffarie e maggiorazioni di corrispettivi e componenti tariffarie qualora introdotte dalle autorità competenti anche in sostituzione di altri precedentemente previsti dalla normativa di settore. In sede di fatturazione i corrispettivi e le componenti di cui sopra verranno attribuiti ai volumi di gas in relazione al potere calorifico superiore convenzionale (“PCS”) dell’impianto di distribuzione a cui è connesso il punto di consegna (“PDR”) del cliente, secondo le disposizioni del TIVG. </w:t>
      </w:r>
    </w:p>
    <w:p w:rsidR="00747FC7" w:rsidRPr="002F303F" w:rsidRDefault="00747FC7" w:rsidP="003D43ED">
      <w:pPr>
        <w:pStyle w:val="Default"/>
        <w:jc w:val="both"/>
        <w:rPr>
          <w:b/>
          <w:bCs/>
          <w:color w:val="auto"/>
          <w:sz w:val="12"/>
          <w:szCs w:val="12"/>
        </w:rPr>
      </w:pPr>
      <w:r w:rsidRPr="002F303F">
        <w:rPr>
          <w:color w:val="auto"/>
          <w:sz w:val="12"/>
          <w:szCs w:val="12"/>
        </w:rPr>
        <w:t>I volumi di gas naturale prelevati dai gruppi di misura non dotati di convertitore verranno adeguati mediante l’applicazione del coefficiente di correzione dei volumi misurati per il gas “C”, secondo le disposizioni del TIVG. In conformità con il regime fiscale vigente il cliente è tenuto al pagamento delle imposte.</w:t>
      </w:r>
    </w:p>
    <w:p w:rsidR="00747FC7" w:rsidRPr="002F303F" w:rsidRDefault="00747FC7" w:rsidP="003D43ED">
      <w:pPr>
        <w:pStyle w:val="Default"/>
        <w:jc w:val="both"/>
        <w:rPr>
          <w:color w:val="auto"/>
          <w:sz w:val="12"/>
          <w:szCs w:val="12"/>
        </w:rPr>
      </w:pPr>
      <w:r w:rsidRPr="002F303F">
        <w:rPr>
          <w:b/>
          <w:bCs/>
          <w:color w:val="auto"/>
          <w:sz w:val="12"/>
          <w:szCs w:val="12"/>
        </w:rPr>
        <w:t>ART 14) CONDIZIONI PARTICOLARI DI FORNITURA</w:t>
      </w:r>
      <w:r w:rsidRPr="002F303F">
        <w:rPr>
          <w:color w:val="auto"/>
          <w:sz w:val="12"/>
          <w:szCs w:val="12"/>
        </w:rPr>
        <w:t xml:space="preserve">. Le condizioni particolari di fornitura per le utenze sul libero mercato di cui all’allegato A, se presente, costituiscono parte integrante e sostanziale della presente proposta contrattuale. </w:t>
      </w:r>
    </w:p>
    <w:p w:rsidR="00747FC7" w:rsidRPr="002F303F" w:rsidRDefault="00747FC7" w:rsidP="003D43ED">
      <w:pPr>
        <w:pStyle w:val="Default"/>
        <w:jc w:val="both"/>
        <w:rPr>
          <w:color w:val="auto"/>
          <w:sz w:val="12"/>
          <w:szCs w:val="12"/>
        </w:rPr>
      </w:pPr>
    </w:p>
    <w:p w:rsidR="00747FC7" w:rsidRPr="002F303F" w:rsidRDefault="00747FC7" w:rsidP="003D43ED">
      <w:pPr>
        <w:pStyle w:val="Default"/>
        <w:jc w:val="both"/>
        <w:rPr>
          <w:color w:val="auto"/>
          <w:sz w:val="12"/>
          <w:szCs w:val="12"/>
        </w:rPr>
      </w:pPr>
      <w:r w:rsidRPr="002F303F">
        <w:rPr>
          <w:color w:val="auto"/>
          <w:sz w:val="12"/>
          <w:szCs w:val="12"/>
        </w:rPr>
        <w:t>Allegati:</w:t>
      </w:r>
    </w:p>
    <w:p w:rsidR="00747FC7" w:rsidRPr="002F303F" w:rsidRDefault="00747FC7" w:rsidP="003D43ED">
      <w:pPr>
        <w:pStyle w:val="Default"/>
        <w:numPr>
          <w:ilvl w:val="0"/>
          <w:numId w:val="1"/>
        </w:numPr>
        <w:ind w:firstLine="0"/>
        <w:jc w:val="both"/>
        <w:rPr>
          <w:color w:val="auto"/>
          <w:sz w:val="12"/>
          <w:szCs w:val="12"/>
        </w:rPr>
      </w:pPr>
      <w:r w:rsidRPr="002F303F">
        <w:rPr>
          <w:color w:val="auto"/>
          <w:sz w:val="12"/>
          <w:szCs w:val="12"/>
        </w:rPr>
        <w:t>Nota informativa dell’Autorità del.126/04</w:t>
      </w:r>
    </w:p>
    <w:p w:rsidR="00747FC7" w:rsidRPr="002F303F" w:rsidRDefault="009746B7" w:rsidP="003D43ED">
      <w:pPr>
        <w:pStyle w:val="Default"/>
        <w:numPr>
          <w:ilvl w:val="0"/>
          <w:numId w:val="1"/>
        </w:numPr>
        <w:ind w:firstLine="0"/>
        <w:jc w:val="both"/>
        <w:rPr>
          <w:color w:val="auto"/>
          <w:sz w:val="12"/>
          <w:szCs w:val="12"/>
        </w:rPr>
      </w:pPr>
      <w:r w:rsidRPr="002F303F">
        <w:rPr>
          <w:color w:val="auto"/>
          <w:sz w:val="12"/>
          <w:szCs w:val="12"/>
        </w:rPr>
        <w:t>Allegato G (del.40/1</w:t>
      </w:r>
      <w:r w:rsidR="00747FC7" w:rsidRPr="002F303F">
        <w:rPr>
          <w:color w:val="auto"/>
          <w:sz w:val="12"/>
          <w:szCs w:val="12"/>
        </w:rPr>
        <w:t>4) / Copertura Assicurativa</w:t>
      </w:r>
    </w:p>
    <w:p w:rsidR="00747FC7" w:rsidRPr="002F303F" w:rsidRDefault="00747FC7" w:rsidP="003D43ED">
      <w:pPr>
        <w:pStyle w:val="Default"/>
        <w:numPr>
          <w:ilvl w:val="0"/>
          <w:numId w:val="1"/>
        </w:numPr>
        <w:ind w:firstLine="0"/>
        <w:jc w:val="both"/>
        <w:rPr>
          <w:color w:val="auto"/>
          <w:sz w:val="12"/>
          <w:szCs w:val="12"/>
        </w:rPr>
      </w:pPr>
      <w:r w:rsidRPr="002F303F">
        <w:rPr>
          <w:color w:val="auto"/>
          <w:sz w:val="12"/>
          <w:szCs w:val="12"/>
        </w:rPr>
        <w:t>Modulo Reclami</w:t>
      </w:r>
    </w:p>
    <w:p w:rsidR="00747FC7" w:rsidRPr="002F303F" w:rsidRDefault="00747FC7" w:rsidP="003D43ED">
      <w:pPr>
        <w:pStyle w:val="Default"/>
        <w:numPr>
          <w:ilvl w:val="0"/>
          <w:numId w:val="1"/>
        </w:numPr>
        <w:ind w:firstLine="0"/>
        <w:jc w:val="both"/>
        <w:rPr>
          <w:color w:val="auto"/>
          <w:sz w:val="12"/>
          <w:szCs w:val="12"/>
        </w:rPr>
      </w:pPr>
      <w:r w:rsidRPr="002F303F">
        <w:rPr>
          <w:color w:val="auto"/>
          <w:sz w:val="12"/>
          <w:szCs w:val="12"/>
        </w:rPr>
        <w:t xml:space="preserve">Allegato A </w:t>
      </w:r>
      <w:r w:rsidR="00E953E3" w:rsidRPr="002F303F">
        <w:rPr>
          <w:color w:val="auto"/>
          <w:sz w:val="12"/>
          <w:szCs w:val="12"/>
        </w:rPr>
        <w:t>(Condizioni particolari del mercato libero)</w:t>
      </w:r>
    </w:p>
    <w:p w:rsidR="00747FC7" w:rsidRPr="002F303F" w:rsidRDefault="000E0E62" w:rsidP="003D43ED">
      <w:pPr>
        <w:pStyle w:val="Default"/>
        <w:numPr>
          <w:ilvl w:val="0"/>
          <w:numId w:val="1"/>
        </w:numPr>
        <w:ind w:firstLine="0"/>
        <w:jc w:val="both"/>
        <w:rPr>
          <w:color w:val="auto"/>
          <w:sz w:val="12"/>
          <w:szCs w:val="12"/>
        </w:rPr>
      </w:pPr>
      <w:r w:rsidRPr="002F303F">
        <w:rPr>
          <w:color w:val="auto"/>
          <w:sz w:val="12"/>
          <w:szCs w:val="12"/>
        </w:rPr>
        <w:t>Scheda di confrontabilità</w:t>
      </w:r>
    </w:p>
    <w:p w:rsidR="00E953E3" w:rsidRPr="002F303F" w:rsidRDefault="00E953E3" w:rsidP="003D43ED">
      <w:pPr>
        <w:pStyle w:val="Default"/>
        <w:numPr>
          <w:ilvl w:val="0"/>
          <w:numId w:val="1"/>
        </w:numPr>
        <w:ind w:firstLine="0"/>
        <w:jc w:val="both"/>
        <w:rPr>
          <w:color w:val="auto"/>
          <w:sz w:val="12"/>
          <w:szCs w:val="12"/>
        </w:rPr>
      </w:pPr>
      <w:r w:rsidRPr="002F303F">
        <w:rPr>
          <w:color w:val="auto"/>
          <w:sz w:val="12"/>
          <w:szCs w:val="12"/>
        </w:rPr>
        <w:t>Livelli di qualità commerciale</w:t>
      </w:r>
    </w:p>
    <w:p w:rsidR="00747FC7" w:rsidRPr="002F303F" w:rsidRDefault="00747FC7" w:rsidP="003D43ED">
      <w:pPr>
        <w:autoSpaceDE w:val="0"/>
        <w:autoSpaceDN w:val="0"/>
        <w:adjustRightInd w:val="0"/>
        <w:jc w:val="both"/>
        <w:rPr>
          <w:rFonts w:ascii="EniExpReg" w:hAnsi="EniExpReg" w:cs="EniExpReg"/>
          <w:sz w:val="12"/>
          <w:szCs w:val="12"/>
        </w:rPr>
      </w:pPr>
    </w:p>
    <w:p w:rsidR="00747FC7" w:rsidRPr="002F303F" w:rsidRDefault="00747FC7" w:rsidP="003D43ED">
      <w:pPr>
        <w:autoSpaceDE w:val="0"/>
        <w:autoSpaceDN w:val="0"/>
        <w:adjustRightInd w:val="0"/>
        <w:jc w:val="both"/>
        <w:rPr>
          <w:rFonts w:ascii="EniExpReg" w:hAnsi="EniExpReg" w:cs="EniExpReg"/>
          <w:sz w:val="12"/>
          <w:szCs w:val="12"/>
        </w:rPr>
      </w:pPr>
      <w:r w:rsidRPr="002F303F">
        <w:rPr>
          <w:rFonts w:ascii="EniExpReg" w:hAnsi="EniExpReg" w:cs="EniExpReg"/>
          <w:sz w:val="12"/>
          <w:szCs w:val="12"/>
        </w:rPr>
        <w:t>Luogo e data _______________________________________________________</w:t>
      </w:r>
    </w:p>
    <w:p w:rsidR="00747FC7" w:rsidRPr="002F303F" w:rsidRDefault="00747FC7" w:rsidP="003D43ED">
      <w:pPr>
        <w:autoSpaceDE w:val="0"/>
        <w:autoSpaceDN w:val="0"/>
        <w:adjustRightInd w:val="0"/>
        <w:jc w:val="both"/>
        <w:rPr>
          <w:rFonts w:ascii="EniExpReg" w:hAnsi="EniExpReg" w:cs="EniExpReg"/>
          <w:sz w:val="12"/>
          <w:szCs w:val="12"/>
        </w:rPr>
      </w:pPr>
    </w:p>
    <w:p w:rsidR="00747FC7" w:rsidRPr="002F303F" w:rsidRDefault="00747FC7" w:rsidP="003D43ED">
      <w:pPr>
        <w:autoSpaceDE w:val="0"/>
        <w:autoSpaceDN w:val="0"/>
        <w:adjustRightInd w:val="0"/>
        <w:jc w:val="both"/>
        <w:rPr>
          <w:rFonts w:ascii="EniExpReg" w:hAnsi="EniExpReg" w:cs="EniExpReg"/>
          <w:sz w:val="12"/>
          <w:szCs w:val="12"/>
        </w:rPr>
      </w:pPr>
    </w:p>
    <w:p w:rsidR="00747FC7" w:rsidRPr="002F303F" w:rsidRDefault="00747FC7" w:rsidP="003D43ED">
      <w:pPr>
        <w:autoSpaceDE w:val="0"/>
        <w:autoSpaceDN w:val="0"/>
        <w:adjustRightInd w:val="0"/>
        <w:jc w:val="both"/>
        <w:rPr>
          <w:rFonts w:ascii="EniExpReg" w:hAnsi="EniExpReg" w:cs="EniExpReg"/>
          <w:sz w:val="12"/>
          <w:szCs w:val="12"/>
        </w:rPr>
      </w:pPr>
      <w:r w:rsidRPr="002F303F">
        <w:rPr>
          <w:rFonts w:ascii="EniExpReg" w:hAnsi="EniExpReg" w:cs="EniExpReg"/>
          <w:sz w:val="12"/>
          <w:szCs w:val="12"/>
        </w:rPr>
        <w:t>Cognome Nome         ________________________________________________</w:t>
      </w:r>
    </w:p>
    <w:p w:rsidR="00747FC7" w:rsidRPr="002F303F" w:rsidRDefault="00747FC7" w:rsidP="003D43ED">
      <w:pPr>
        <w:autoSpaceDE w:val="0"/>
        <w:autoSpaceDN w:val="0"/>
        <w:adjustRightInd w:val="0"/>
        <w:jc w:val="both"/>
        <w:rPr>
          <w:rFonts w:ascii="EniExpReg" w:hAnsi="EniExpReg" w:cs="EniExpReg"/>
          <w:sz w:val="12"/>
          <w:szCs w:val="12"/>
        </w:rPr>
      </w:pPr>
    </w:p>
    <w:p w:rsidR="00747FC7" w:rsidRPr="002F303F" w:rsidRDefault="00747FC7" w:rsidP="003D43ED">
      <w:pPr>
        <w:pBdr>
          <w:top w:val="single" w:sz="4" w:space="1" w:color="auto"/>
          <w:left w:val="single" w:sz="4" w:space="4" w:color="auto"/>
          <w:bottom w:val="single" w:sz="4" w:space="1" w:color="auto"/>
          <w:right w:val="single" w:sz="4" w:space="4" w:color="auto"/>
        </w:pBdr>
        <w:autoSpaceDE w:val="0"/>
        <w:autoSpaceDN w:val="0"/>
        <w:adjustRightInd w:val="0"/>
        <w:jc w:val="both"/>
        <w:rPr>
          <w:rFonts w:ascii="EniExpReg" w:hAnsi="EniExpReg" w:cs="EniExpReg"/>
          <w:b/>
          <w:sz w:val="12"/>
          <w:szCs w:val="12"/>
        </w:rPr>
      </w:pPr>
    </w:p>
    <w:p w:rsidR="00747FC7" w:rsidRPr="002F303F" w:rsidRDefault="00747FC7" w:rsidP="003D43ED">
      <w:pPr>
        <w:pBdr>
          <w:top w:val="single" w:sz="4" w:space="1" w:color="auto"/>
          <w:left w:val="single" w:sz="4" w:space="4" w:color="auto"/>
          <w:bottom w:val="single" w:sz="4" w:space="1" w:color="auto"/>
          <w:right w:val="single" w:sz="4" w:space="4" w:color="auto"/>
        </w:pBdr>
        <w:autoSpaceDE w:val="0"/>
        <w:autoSpaceDN w:val="0"/>
        <w:adjustRightInd w:val="0"/>
        <w:jc w:val="both"/>
        <w:rPr>
          <w:rFonts w:ascii="EniExpReg" w:hAnsi="EniExpReg" w:cs="EniExpReg"/>
          <w:sz w:val="12"/>
          <w:szCs w:val="12"/>
        </w:rPr>
      </w:pPr>
      <w:r w:rsidRPr="002F303F">
        <w:rPr>
          <w:rFonts w:ascii="EniExpReg" w:hAnsi="EniExpReg" w:cs="EniExpReg"/>
          <w:b/>
          <w:sz w:val="12"/>
          <w:szCs w:val="12"/>
        </w:rPr>
        <w:t>Firma</w:t>
      </w:r>
      <w:r w:rsidRPr="002F303F">
        <w:rPr>
          <w:rFonts w:ascii="EniExpReg" w:hAnsi="EniExpReg" w:cs="EniExpReg"/>
          <w:sz w:val="12"/>
          <w:szCs w:val="12"/>
        </w:rPr>
        <w:t xml:space="preserve"> (per esteso e leggibile)</w:t>
      </w:r>
    </w:p>
    <w:p w:rsidR="00ED3114" w:rsidRPr="002F303F" w:rsidRDefault="00ED3114" w:rsidP="003D43ED">
      <w:bookmarkStart w:id="0" w:name="_GoBack"/>
      <w:bookmarkEnd w:id="0"/>
    </w:p>
    <w:sectPr w:rsidR="00ED3114" w:rsidRPr="002F303F" w:rsidSect="003E31E4">
      <w:headerReference w:type="default" r:id="rId10"/>
      <w:pgSz w:w="11906" w:h="16838"/>
      <w:pgMar w:top="1101" w:right="282" w:bottom="284" w:left="284" w:header="708" w:footer="708"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79D" w:rsidRDefault="0024679D">
      <w:r>
        <w:separator/>
      </w:r>
    </w:p>
  </w:endnote>
  <w:endnote w:type="continuationSeparator" w:id="0">
    <w:p w:rsidR="0024679D" w:rsidRDefault="00246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niExpReg">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79D" w:rsidRDefault="0024679D">
      <w:r>
        <w:separator/>
      </w:r>
    </w:p>
  </w:footnote>
  <w:footnote w:type="continuationSeparator" w:id="0">
    <w:p w:rsidR="0024679D" w:rsidRDefault="00246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213" w:rsidRPr="008B7213" w:rsidRDefault="00BB3A51">
    <w:pPr>
      <w:pStyle w:val="Intestazione"/>
      <w:rPr>
        <w:lang w:val="en-GB"/>
      </w:rPr>
    </w:pPr>
    <w:r>
      <w:rPr>
        <w:noProof/>
      </w:rPr>
      <w:pict>
        <v:rect id="Rettangolo 2" o:spid="_x0000_s3115" style="position:absolute;margin-left:341.2pt;margin-top:-28.25pt;width: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" stroked="f">
          <v:textbox>
            <w:txbxContent>
              <w:p w:rsidR="003E31E4" w:rsidRDefault="003E31E4" w:rsidP="004E1B07">
                <w:pPr>
                  <w:jc w:val="center"/>
                  <w:rPr>
                    <w:sz w:val="16"/>
                    <w:szCs w:val="16"/>
                  </w:rPr>
                </w:pPr>
                <w:r w:rsidRPr="00510C61">
                  <w:rPr>
                    <w:i/>
                    <w:sz w:val="16"/>
                    <w:szCs w:val="16"/>
                  </w:rPr>
                  <w:t>Sede Legale</w:t>
                </w:r>
                <w:r>
                  <w:rPr>
                    <w:sz w:val="16"/>
                    <w:szCs w:val="16"/>
                  </w:rPr>
                  <w:t xml:space="preserve"> e </w:t>
                </w:r>
                <w:r w:rsidRPr="00510C61">
                  <w:rPr>
                    <w:i/>
                    <w:sz w:val="16"/>
                    <w:szCs w:val="16"/>
                  </w:rPr>
                  <w:t>Uffici</w:t>
                </w:r>
                <w:r>
                  <w:rPr>
                    <w:sz w:val="16"/>
                    <w:szCs w:val="16"/>
                  </w:rPr>
                  <w:t>: Via Mancini</w:t>
                </w:r>
                <w:r w:rsidRPr="00510C61">
                  <w:rPr>
                    <w:sz w:val="16"/>
                    <w:szCs w:val="16"/>
                  </w:rPr>
                  <w:t xml:space="preserve">, 13 </w:t>
                </w:r>
              </w:p>
              <w:p w:rsidR="003E31E4" w:rsidRPr="005D0407" w:rsidRDefault="003E31E4" w:rsidP="004E1B07">
                <w:pPr>
                  <w:jc w:val="center"/>
                  <w:rPr>
                    <w:sz w:val="16"/>
                    <w:szCs w:val="16"/>
                    <w:lang w:val="en-US"/>
                  </w:rPr>
                </w:pPr>
                <w:r>
                  <w:rPr>
                    <w:sz w:val="16"/>
                    <w:szCs w:val="16"/>
                  </w:rPr>
                  <w:t xml:space="preserve"> </w:t>
                </w:r>
                <w:r w:rsidRPr="005D0407">
                  <w:rPr>
                    <w:sz w:val="16"/>
                    <w:szCs w:val="16"/>
                    <w:lang w:val="en-US"/>
                  </w:rPr>
                  <w:t>Tel. 0941 918162 – Fax 0941 914660</w:t>
                </w:r>
              </w:p>
              <w:p w:rsidR="003E31E4" w:rsidRPr="00510C61" w:rsidRDefault="003E31E4" w:rsidP="00B95D73">
                <w:pPr>
                  <w:jc w:val="center"/>
                  <w:rPr>
                    <w:sz w:val="16"/>
                    <w:szCs w:val="16"/>
                    <w:lang w:val="en-GB"/>
                  </w:rPr>
                </w:pPr>
                <w:proofErr w:type="spellStart"/>
                <w:r w:rsidRPr="00510C61">
                  <w:rPr>
                    <w:sz w:val="16"/>
                    <w:szCs w:val="16"/>
                    <w:lang w:val="en-GB"/>
                  </w:rPr>
                  <w:t>E.mail</w:t>
                </w:r>
                <w:proofErr w:type="spellEnd"/>
                <w:r w:rsidRPr="00510C61">
                  <w:rPr>
                    <w:sz w:val="16"/>
                    <w:szCs w:val="16"/>
                    <w:lang w:val="en-GB"/>
                  </w:rPr>
                  <w:t xml:space="preserve"> </w:t>
                </w:r>
                <w:r w:rsidR="00BB3A51">
                  <w:fldChar w:fldCharType="begin"/>
                </w:r>
                <w:r w:rsidR="00BB3A51" w:rsidRPr="005716D7">
                  <w:rPr>
                    <w:lang w:val="en-US"/>
                  </w:rPr>
                  <w:instrText>HYPERLINK "mailto:info@nebrodigas.it"</w:instrText>
                </w:r>
                <w:r w:rsidR="00BB3A51">
                  <w:fldChar w:fldCharType="separate"/>
                </w:r>
                <w:r w:rsidRPr="00510C61">
                  <w:rPr>
                    <w:rStyle w:val="Collegamentoipertestuale"/>
                    <w:color w:val="auto"/>
                    <w:sz w:val="16"/>
                    <w:szCs w:val="16"/>
                    <w:lang w:val="en-GB"/>
                  </w:rPr>
                  <w:t>info@nebrodigas.it</w:t>
                </w:r>
                <w:r w:rsidR="00BB3A51">
                  <w:fldChar w:fldCharType="end"/>
                </w:r>
                <w:r w:rsidRPr="00510C61">
                  <w:rPr>
                    <w:sz w:val="16"/>
                    <w:szCs w:val="16"/>
                    <w:lang w:val="en-GB"/>
                  </w:rPr>
                  <w:t xml:space="preserve"> – http//www.nebrodigas</w:t>
                </w:r>
                <w:r>
                  <w:rPr>
                    <w:sz w:val="16"/>
                    <w:szCs w:val="16"/>
                    <w:lang w:val="en-GB"/>
                  </w:rPr>
                  <w:t>vendita</w:t>
                </w:r>
                <w:r w:rsidRPr="00510C61">
                  <w:rPr>
                    <w:sz w:val="16"/>
                    <w:szCs w:val="16"/>
                    <w:lang w:val="en-GB"/>
                  </w:rPr>
                  <w:t>.it</w:t>
                </w:r>
              </w:p>
              <w:p w:rsidR="003E31E4" w:rsidRPr="00510C61" w:rsidRDefault="003E31E4" w:rsidP="00B95D73">
                <w:pPr>
                  <w:jc w:val="center"/>
                  <w:rPr>
                    <w:b/>
                    <w:sz w:val="16"/>
                    <w:szCs w:val="16"/>
                  </w:rPr>
                </w:pPr>
                <w:r w:rsidRPr="00510C61">
                  <w:rPr>
                    <w:b/>
                    <w:sz w:val="16"/>
                    <w:szCs w:val="16"/>
                  </w:rPr>
                  <w:t>98071 CAPO D’ORLANDO (ME)</w:t>
                </w:r>
              </w:p>
              <w:p w:rsidR="003E31E4" w:rsidRPr="00510C61" w:rsidRDefault="003E31E4" w:rsidP="00261A1F">
                <w:pPr>
                  <w:ind w:left="708"/>
                  <w:rPr>
                    <w:sz w:val="16"/>
                    <w:szCs w:val="16"/>
                  </w:rPr>
                </w:pPr>
                <w:r w:rsidRPr="00510C61">
                  <w:rPr>
                    <w:sz w:val="16"/>
                    <w:szCs w:val="16"/>
                  </w:rPr>
                  <w:t xml:space="preserve">         </w:t>
                </w:r>
                <w:proofErr w:type="spellStart"/>
                <w:r w:rsidRPr="00510C61">
                  <w:rPr>
                    <w:sz w:val="16"/>
                    <w:szCs w:val="16"/>
                  </w:rPr>
                  <w:t>C.Fisc.</w:t>
                </w:r>
                <w:proofErr w:type="spellEnd"/>
                <w:r w:rsidRPr="00510C61">
                  <w:rPr>
                    <w:sz w:val="16"/>
                    <w:szCs w:val="16"/>
                  </w:rPr>
                  <w:t xml:space="preserve">/ </w:t>
                </w:r>
                <w:proofErr w:type="spellStart"/>
                <w:r w:rsidRPr="00510C61">
                  <w:rPr>
                    <w:sz w:val="16"/>
                    <w:szCs w:val="16"/>
                  </w:rPr>
                  <w:t>P.IVA</w:t>
                </w:r>
                <w:proofErr w:type="spellEnd"/>
                <w:r w:rsidRPr="00510C61">
                  <w:rPr>
                    <w:sz w:val="16"/>
                    <w:szCs w:val="16"/>
                  </w:rPr>
                  <w:t>: 02 653 380 838</w:t>
                </w:r>
              </w:p>
              <w:p w:rsidR="003E31E4" w:rsidRPr="00954FBD" w:rsidRDefault="003E31E4" w:rsidP="00261A1F">
                <w:pPr>
                  <w:jc w:val="center"/>
                  <w:rPr>
                    <w:b/>
                    <w:sz w:val="16"/>
                    <w:szCs w:val="16"/>
                  </w:rPr>
                </w:pPr>
              </w:p>
              <w:p w:rsidR="003E31E4" w:rsidRPr="00954FBD" w:rsidRDefault="003E31E4" w:rsidP="00B95D73">
                <w:pPr>
                  <w:jc w:val="center"/>
                  <w:rPr>
                    <w:b/>
                    <w:sz w:val="16"/>
                    <w:szCs w:val="16"/>
                  </w:rPr>
                </w:pPr>
              </w:p>
              <w:p w:rsidR="003E31E4" w:rsidRPr="00954FBD" w:rsidRDefault="003E31E4" w:rsidP="00B95D73">
                <w:pPr>
                  <w:jc w:val="center"/>
                  <w:rPr>
                    <w:sz w:val="16"/>
                    <w:szCs w:val="16"/>
                  </w:rPr>
                </w:pPr>
              </w:p>
              <w:p w:rsidR="003E31E4" w:rsidRPr="00954FBD" w:rsidRDefault="003E31E4" w:rsidP="00B95D73">
                <w:pPr>
                  <w:rPr>
                    <w:b/>
                    <w:sz w:val="16"/>
                    <w:szCs w:val="16"/>
                  </w:rPr>
                </w:pPr>
              </w:p>
              <w:p w:rsidR="003E31E4" w:rsidRPr="00954FBD" w:rsidRDefault="003E31E4" w:rsidP="00B95D73">
                <w:pPr>
                  <w:rPr>
                    <w:sz w:val="16"/>
                    <w:szCs w:val="16"/>
                  </w:rPr>
                </w:pPr>
              </w:p>
            </w:txbxContent>
          </v:textbox>
        </v:rect>
      </w:pict>
    </w:r>
    <w:r>
      <w:rPr>
        <w:noProof/>
      </w:rPr>
      <w:pict>
        <v:group id="_x0000_s3095" style="position:absolute;margin-left:29.95pt;margin-top:-24.8pt;width:120.8pt;height:41.45pt;z-index:251658240" coordorigin="1176,1454" coordsize="3198,967">
          <v:shape id="_x0000_s3096" style="position:absolute;left:2867;top:1831;width:1;height:3;mso-position-horizontal:absolute;mso-position-vertical:absolute" coordsize="2,4" path="m,1r,l,3r,l2,4,2,1,2,,,,,1xe" fillcolor="black" stroked="f">
            <v:path arrowok="t"/>
          </v:shape>
          <v:shape id="_x0000_s3097" style="position:absolute;left:2553;top:1782;width:204;height:29;mso-position-horizontal:absolute;mso-position-vertical:absolute" coordsize="222,49" path="m222,l42,,32,12,20,24,10,37,,49r178,l184,43r7,-7l197,30r5,-7l207,17r5,-5l218,6,222,xe" fillcolor="#ffad28" stroked="f">
            <v:path arrowok="t"/>
          </v:shape>
          <v:shape id="_x0000_s3098" style="position:absolute;left:2462;top:1454;width:622;height:781;mso-position-horizontal:absolute;mso-position-vertical:absolute" coordsize="680,1318" path="m198,1288r1,-23l203,1241r9,-23l223,1195r14,-19l257,1160r23,-10l307,1148r31,2l363,1158r18,11l394,1185r10,18l410,1225r4,23l415,1272r36,-38l485,1196r30,-38l543,1120r26,-37l592,1047r20,-37l629,974r15,-36l657,902r10,-34l674,832r5,-34l680,763r-1,-34l676,694r-7,-40l657,610,643,562,626,512,607,461,587,407,566,354,545,301,523,251,503,202,485,156,468,115,454,78,442,45,434,19,430,r,9l428,23r-3,20l422,66r-5,29l410,126r-9,35l390,199r-15,41l358,281r-21,45l314,370r-27,46l256,462r-34,46l182,554r-4,4l175,561r-4,4l168,568r180,l381,532r26,-30l425,476r16,-20l451,439r7,-13l461,416r1,-7l462,407r,l462,407r,-1l462,406r,l462,407r,2l468,436r13,37l499,516r20,51l540,621r22,58l579,736r14,59l597,852r-4,57l579,967r-21,59l532,1082r-31,54l467,1188r-36,47l451,1201r18,-38l485,1122r14,-42l509,1040r9,-39l521,967r-2,-29l511,892,496,848,481,803,464,762,448,723,434,690,424,661r-4,-20l418,648r-6,10l404,674r-14,22l367,723r-30,34l296,800r-51,51l205,899r-26,52l166,1004r-1,53l169,1109r12,49l193,1201r13,35l190,1224r-18,-16l155,1191r-19,-20l118,1148r-16,-26l89,1094r-9,-31l74,1027r1,-37l81,948,94,904r21,-50l146,800r40,-55l236,683r9,-10l253,664r10,-8l272,647r8,-7l289,631r8,-7l304,617r-178,l82,677,50,736,25,793,10,849,1,902,,952r6,49l17,1047r14,43l51,1132r21,39l98,1206r26,32l149,1268r27,27l202,1318r-2,-7l199,1302r-1,-7l198,1288xe" fillcolor="#9cf" stroked="f">
            <v:path arrowok="t"/>
          </v:shape>
          <v:shape id="_x0000_s3099" style="position:absolute;left:2444;top:1491;width:439;height:504;mso-position-horizontal:absolute;mso-position-vertical:absolute" coordsize="479,850" path="m21,850r,-8l23,816r3,-37l35,730,53,675,80,618r37,-59l169,505r23,-22l215,456r24,-32l265,390r24,-36l314,315r25,-40l363,235r21,-39l405,158r19,-36l441,89,455,60,467,34r8,-20l479,r-1,l469,8,458,24,442,44,422,72r-22,30l374,136r-27,37l319,212r-29,40l260,291r-28,39l205,369r-26,34l155,434r-21,28l68,555,28,632,7,694,,744r3,38l11,812r7,21l21,850xe" fillcolor="black" stroked="f">
            <v:path arrowok="t"/>
          </v:shape>
          <v:shape id="_x0000_s3100" style="position:absolute;left:2593;top:1834;width:366;height:365;mso-position-horizontal:absolute;mso-position-vertical:absolute" coordsize="400,616" path="m293,616r8,-9l318,583r24,-39l366,494r21,-62l400,363r,-77l382,204r-3,-6l373,184r-8,-23l352,132,339,99,326,65,312,32,301,r-5,6l285,20,265,43,241,73r-32,35l175,148r-38,40l96,231r-9,7l66,261,39,296,15,342,,396r2,62l29,525r58,70l89,591r2,-10l99,565r11,-17l127,532r21,-13l177,511r35,l215,511r10,1l238,517r16,8l268,538r13,19l291,581r2,35xe" fillcolor="#36f" stroked="f">
            <v:path arrowok="t"/>
          </v:shape>
          <v:shape id="_x0000_s3101" style="position:absolute;left:2607;top:1849;width:342;height:337;mso-position-horizontal:absolute;mso-position-vertical:absolute" coordsize="373,569" path="m81,542l27,478,3,417,,362,14,313,37,271,63,240,83,220r9,-9l131,172r34,-37l198,99,225,66,248,40,265,19,276,4,280,r12,29l303,59r13,31l327,121r12,27l347,169r6,15l354,189r17,74l373,333r-10,64l344,453r-21,48l302,536r-17,23l277,569r-4,-30l265,515,252,498,239,485r-14,-7l213,472r-8,-3l201,469r-35,l139,475r-21,11l102,501,92,515r-7,13l83,538r-2,4xe" fillcolor="#339" stroked="f">
            <v:path arrowok="t"/>
          </v:shape>
          <v:shape id="_x0000_s3102" style="position:absolute;left:2626;top:1865;width:311;height:305;mso-wrap-edited:f;mso-position-horizontal:absolute;mso-position-vertical:absolute" coordsize="340,516" wrapcoords="207 15 0 258 -15 349 15 470 222 501 222 501 281 501 355 273 355 258 281 15 207 15" path="m72,493l24,436,1,381,,331,11,287,31,248,54,219,74,199r10,-8l119,155r32,-33l181,89,206,60,226,36,242,17,252,4,255,r10,26l276,53r11,29l299,109r10,26l316,155r5,13l324,175r15,66l340,303r-10,55l314,409r-18,43l277,485r-15,21l253,516r-4,-26l240,469,229,455,218,443r-13,-7l193,432r-7,-3l182,429r-31,l127,434r-19,9l94,456,84,469r-7,11l74,489r-2,4xe" fillcolor="#ff7247" stroked="f">
            <v:path arrowok="t"/>
          </v:shape>
          <v:shape id="_x0000_s3103" style="position:absolute;left:2642;top:1881;width:285;height:274;mso-position-horizontal:absolute;mso-position-vertical:absolute" coordsize="311,463" path="m67,451l23,399,3,350,,304,10,263,29,227,49,198,67,178r10,-9l110,138r30,-32l167,78,190,52,207,32,221,14,229,4,232,r9,23l251,47r10,25l272,96r9,23l289,138r6,14l298,159r11,58l311,270r-9,50l288,364r-17,38l254,432r-15,21l229,463r-4,-23l218,422,208,409,198,399r-11,-6l177,390r-7,-3l165,387r-27,l116,393r-17,9l87,415,77,426r-5,12l69,446r-2,5xe" fillcolor="#ff8249" stroked="f">
            <v:path arrowok="t"/>
          </v:shape>
          <v:shape id="_x0000_s3104" style="position:absolute;left:2660;top:1896;width:255;height:244;mso-position-horizontal:absolute;mso-position-vertical:absolute" coordsize="279,412" path="m60,402l21,357,3,314,,274,8,237,24,205,43,179,60,161,71,151r30,-29l127,95,151,69,171,46,186,27,198,13r7,-9l208,r7,20l225,42r10,22l245,86r8,20l260,123r5,13l267,145r10,49l279,239r-7,44l260,321r-14,35l230,381r-14,21l206,412r-4,-20l195,377r-9,-11l176,357r-10,-6l158,348r-7,-1l148,347r-24,l105,351r-15,9l78,370r-8,11l64,392r-3,7l60,402xe" fillcolor="#cff" stroked="f">
            <v:path arrowok="t"/>
          </v:shape>
          <v:shape id="_x0000_s3105" style="position:absolute;left:2655;top:1911;width:228;height:214;mso-position-horizontal:absolute;mso-position-vertical:absolute" coordsize="249,360" path="m53,355l20,317,3,279,,244,8,211,20,182,37,158,53,140,64,130,91,104,116,82,136,59,153,40,167,24,177,11r7,-8l185,r6,17l200,36r8,20l217,74r8,19l232,109r5,13l239,130r9,40l249,209r-5,36l234,278r-12,29l208,330r-13,18l184,360r-4,-16l174,331r-9,-9l157,315r-9,-4l140,308r-6,-1l130,307r-20,l94,311r-14,7l70,327r-7,10l59,345r-5,8l53,355xe" fillcolor="#36f" stroked="f">
            <v:path arrowok="t"/>
          </v:shape>
          <v:shape id="_x0000_s3106" style="position:absolute;left:2694;top:1927;width:199;height:182;mso-position-horizontal:absolute;mso-position-vertical:absolute" coordsize="218,308" path="m45,307l17,275,3,243,,213,6,185,17,159,31,137,45,121,57,110,81,89,102,67,121,48,135,33,146,20r9,-10l161,2,162,r4,14l173,30r8,15l188,63r8,17l202,94r4,12l209,116r7,31l218,177r-3,31l206,233r-10,25l185,279r-13,16l161,308r-5,-13l151,285r-7,-7l136,274r-7,-5l122,268r-5,-2l112,266r-15,l82,271r-11,5l63,284r-8,7l51,298r-4,6l45,307xe" fillcolor="#c9f" stroked="f">
            <v:path arrowok="t"/>
          </v:shape>
          <v:shape id="_x0000_s3107" style="position:absolute;left:2710;top:1943;width:172;height:153;mso-position-horizontal:absolute;mso-position-vertical:absolute" coordsize="188,258" path="m39,258l16,234,5,208,,182,5,158r8,-22l26,116,39,100,52,89,73,70,91,53,106,39,118,26r9,-10l134,7r3,-6l138,r5,11l148,23r6,14l161,51r7,13l174,77r4,12l181,99r6,23l188,146r-3,22l180,189r-9,20l161,226r-11,16l137,255r-9,-16l117,229r-13,-4l96,225r-13,l72,228r-10,4l54,238r-5,6l43,249r-3,6l39,258xe" fillcolor="#ffc459" stroked="f">
            <v:path arrowok="t"/>
          </v:shape>
          <v:shape id="_x0000_s3108" style="position:absolute;left:2727;top:1958;width:143;height:124;mso-position-horizontal:absolute;mso-position-vertical:absolute" coordsize="156,209" path="m31,209l14,190,4,172,,152,3,132,8,113,18,96,31,81,44,70,62,54,78,40,91,28,101,18r6,-7l112,5r2,-4l115,r7,17l134,40r11,23l152,84r3,16l156,114r,16l152,145r-6,15l139,175r-11,14l114,202r-9,-10l97,186,87,185r-9,l68,185r-8,3l53,190r-8,5l40,199r-5,4l33,206r-2,3xe" fillcolor="#ffd65b" stroked="f">
            <v:path arrowok="t"/>
          </v:shape>
          <v:shape id="_x0000_s3109" style="position:absolute;left:2718;top:1995;width:116;height:96;mso-position-horizontal:absolute;mso-position-vertical:absolute" coordsize="126,163" path="m25,163l12,151,5,138,,124,2,108,5,92,13,76,23,64,37,51,53,39,66,29,76,21r7,-8l87,9,90,5,91,2,93,r4,12l107,29r10,20l123,71r1,7l126,85r,9l126,102r-3,12l116,125r-10,12l91,151r-8,-3l76,145r-7,l60,145r-11,2l39,151r-9,6l25,163xe" fillcolor="blue" stroked="f">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110" type="#_x0000_t136" style="position:absolute;left:3078;top:2028;width:1296;height:326" fillcolor="#f90" strokecolor="#f60" strokeweight="1pt">
            <v:shadow color="#99f" offset="3pt"/>
            <v:textpath style="font-family:&quot;Arial Narrow&quot;;font-style:italic;v-text-kern:t" trim="t" fitpath="t" string="Vendita s.r.l&#10;&#10;"/>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3111" type="#_x0000_t172" style="position:absolute;left:2250;top:1608;width:953;height:427" fillcolor="blue" strokecolor="navy">
            <v:shadow color="#868686" opacity=".5" offset="-6pt,-6pt"/>
            <v:textpath style="font-family:&quot;Comic Sans MS&quot;;v-text-kern:t" trim="t" fitpath="t" string="GAS"/>
          </v:shape>
          <v:shape id="_x0000_s3112" type="#_x0000_t136" style="position:absolute;left:1176;top:1994;width:1038;height:183;mso-wrap-edited:f" fillcolor="#f90" strokecolor="#f60">
            <v:shadow color="#c7dfd3" opacity=".5" offset="6pt,-6pt"/>
            <v:textpath style="font-family:&quot;Times New Roman&quot;;font-weight:bold;font-style:italic;v-text-kern:t" trim="t" fitpath="t" string="Nebrodi&#10;"/>
          </v:shape>
          <v:line id="_x0000_s3113" style="position:absolute" from="2534,2421" to="4014,2421" strokecolor="#36f" strokeweight="2.25pt"/>
          <v:line id="_x0000_s3114" style="position:absolute" from="1494,2421" to="2408,2421" strokecolor="#396" strokeweight="2.25pt">
            <v:stroke dashstyle="1 1" endcap="round"/>
          </v:line>
        </v:group>
      </w:pict>
    </w:r>
    <w:r w:rsidR="008B7213">
      <w:tab/>
    </w:r>
    <w:r w:rsidR="008B721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A57"/>
    <w:multiLevelType w:val="hybridMultilevel"/>
    <w:tmpl w:val="DD8AB832"/>
    <w:lvl w:ilvl="0" w:tplc="0574AEC8">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20A3A3F"/>
    <w:multiLevelType w:val="hybridMultilevel"/>
    <w:tmpl w:val="83FAA5B0"/>
    <w:lvl w:ilvl="0" w:tplc="71229F08">
      <w:start w:val="2"/>
      <w:numFmt w:val="bullet"/>
      <w:lvlText w:val="-"/>
      <w:lvlJc w:val="left"/>
      <w:pPr>
        <w:ind w:left="720" w:hanging="360"/>
      </w:pPr>
      <w:rPr>
        <w:rFonts w:ascii="Calibri" w:eastAsia="Calibri" w:hAnsi="Calibri"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437045"/>
    <w:multiLevelType w:val="hybridMultilevel"/>
    <w:tmpl w:val="57003074"/>
    <w:lvl w:ilvl="0" w:tplc="BB064494">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81"/>
  <w:drawingGridVerticalSpacing w:val="181"/>
  <w:characterSpacingControl w:val="doNotCompress"/>
  <w:hdrShapeDefaults>
    <o:shapedefaults v:ext="edit" spidmax="3117"/>
    <o:shapelayout v:ext="edit">
      <o:idmap v:ext="edit" data="3"/>
    </o:shapelayout>
  </w:hdrShapeDefaults>
  <w:footnotePr>
    <w:footnote w:id="-1"/>
    <w:footnote w:id="0"/>
  </w:footnotePr>
  <w:endnotePr>
    <w:endnote w:id="-1"/>
    <w:endnote w:id="0"/>
  </w:endnotePr>
  <w:compat/>
  <w:rsids>
    <w:rsidRoot w:val="00747FC7"/>
    <w:rsid w:val="000341B5"/>
    <w:rsid w:val="0005654A"/>
    <w:rsid w:val="000614A4"/>
    <w:rsid w:val="00062812"/>
    <w:rsid w:val="000D0F3F"/>
    <w:rsid w:val="000E0E62"/>
    <w:rsid w:val="000F2236"/>
    <w:rsid w:val="00106761"/>
    <w:rsid w:val="00115E5D"/>
    <w:rsid w:val="0012595D"/>
    <w:rsid w:val="00131109"/>
    <w:rsid w:val="001C10AC"/>
    <w:rsid w:val="001C18A1"/>
    <w:rsid w:val="001D2582"/>
    <w:rsid w:val="001E4007"/>
    <w:rsid w:val="001F7DE5"/>
    <w:rsid w:val="002044A2"/>
    <w:rsid w:val="0021607E"/>
    <w:rsid w:val="0021756C"/>
    <w:rsid w:val="0024679D"/>
    <w:rsid w:val="0025587B"/>
    <w:rsid w:val="00274985"/>
    <w:rsid w:val="002C5E15"/>
    <w:rsid w:val="002E10AB"/>
    <w:rsid w:val="002F303F"/>
    <w:rsid w:val="00321B27"/>
    <w:rsid w:val="00347133"/>
    <w:rsid w:val="003631DD"/>
    <w:rsid w:val="00372A71"/>
    <w:rsid w:val="003736F9"/>
    <w:rsid w:val="003809B0"/>
    <w:rsid w:val="00396DBE"/>
    <w:rsid w:val="003B2660"/>
    <w:rsid w:val="003B6AC3"/>
    <w:rsid w:val="003D43ED"/>
    <w:rsid w:val="003E31E4"/>
    <w:rsid w:val="003F0D13"/>
    <w:rsid w:val="003F6583"/>
    <w:rsid w:val="0047073A"/>
    <w:rsid w:val="004E0F0B"/>
    <w:rsid w:val="004E43BD"/>
    <w:rsid w:val="004E6EC4"/>
    <w:rsid w:val="00517A60"/>
    <w:rsid w:val="005716D7"/>
    <w:rsid w:val="005C0879"/>
    <w:rsid w:val="005D342F"/>
    <w:rsid w:val="00600755"/>
    <w:rsid w:val="00604AFE"/>
    <w:rsid w:val="00620A93"/>
    <w:rsid w:val="00651A48"/>
    <w:rsid w:val="00664A31"/>
    <w:rsid w:val="006B0C53"/>
    <w:rsid w:val="006C6A89"/>
    <w:rsid w:val="006D33DF"/>
    <w:rsid w:val="00716287"/>
    <w:rsid w:val="00723E66"/>
    <w:rsid w:val="00735DB0"/>
    <w:rsid w:val="00747FC7"/>
    <w:rsid w:val="00751E49"/>
    <w:rsid w:val="00757FC8"/>
    <w:rsid w:val="0076411B"/>
    <w:rsid w:val="0079123A"/>
    <w:rsid w:val="007C1058"/>
    <w:rsid w:val="00820D0F"/>
    <w:rsid w:val="00835C20"/>
    <w:rsid w:val="0084565A"/>
    <w:rsid w:val="00853B49"/>
    <w:rsid w:val="008B7213"/>
    <w:rsid w:val="008D293D"/>
    <w:rsid w:val="00922A1B"/>
    <w:rsid w:val="009401DD"/>
    <w:rsid w:val="009612E5"/>
    <w:rsid w:val="009746B7"/>
    <w:rsid w:val="00976E8F"/>
    <w:rsid w:val="0098397C"/>
    <w:rsid w:val="00984AE5"/>
    <w:rsid w:val="009C01E2"/>
    <w:rsid w:val="009C3437"/>
    <w:rsid w:val="009D48AD"/>
    <w:rsid w:val="00A114F5"/>
    <w:rsid w:val="00A13BD0"/>
    <w:rsid w:val="00A26BCF"/>
    <w:rsid w:val="00A3459E"/>
    <w:rsid w:val="00A4200B"/>
    <w:rsid w:val="00A577B9"/>
    <w:rsid w:val="00A604C0"/>
    <w:rsid w:val="00A762FA"/>
    <w:rsid w:val="00A87548"/>
    <w:rsid w:val="00A90AD4"/>
    <w:rsid w:val="00A93CA0"/>
    <w:rsid w:val="00A96F0A"/>
    <w:rsid w:val="00AA318D"/>
    <w:rsid w:val="00AB0C28"/>
    <w:rsid w:val="00AD0E34"/>
    <w:rsid w:val="00AE04A5"/>
    <w:rsid w:val="00AE174F"/>
    <w:rsid w:val="00B23DFF"/>
    <w:rsid w:val="00B65842"/>
    <w:rsid w:val="00B8542A"/>
    <w:rsid w:val="00B94799"/>
    <w:rsid w:val="00BA4B2F"/>
    <w:rsid w:val="00BB3A51"/>
    <w:rsid w:val="00BC0A91"/>
    <w:rsid w:val="00BD13D6"/>
    <w:rsid w:val="00BD4A32"/>
    <w:rsid w:val="00BE1E4A"/>
    <w:rsid w:val="00C55E1C"/>
    <w:rsid w:val="00C60EEB"/>
    <w:rsid w:val="00C63222"/>
    <w:rsid w:val="00C75A00"/>
    <w:rsid w:val="00CE053A"/>
    <w:rsid w:val="00D13732"/>
    <w:rsid w:val="00D26181"/>
    <w:rsid w:val="00D34DEE"/>
    <w:rsid w:val="00D43B49"/>
    <w:rsid w:val="00D62387"/>
    <w:rsid w:val="00D76640"/>
    <w:rsid w:val="00D80272"/>
    <w:rsid w:val="00D90BA6"/>
    <w:rsid w:val="00DD0433"/>
    <w:rsid w:val="00E2476D"/>
    <w:rsid w:val="00E34836"/>
    <w:rsid w:val="00E7756D"/>
    <w:rsid w:val="00E953E3"/>
    <w:rsid w:val="00EA1FBC"/>
    <w:rsid w:val="00EB5A91"/>
    <w:rsid w:val="00EC495C"/>
    <w:rsid w:val="00ED3114"/>
    <w:rsid w:val="00F01A76"/>
    <w:rsid w:val="00F0562C"/>
    <w:rsid w:val="00F07A9A"/>
    <w:rsid w:val="00F16D92"/>
    <w:rsid w:val="00F92AC1"/>
    <w:rsid w:val="00F93B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7FC7"/>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A3459E"/>
    <w:pPr>
      <w:spacing w:before="400" w:after="60"/>
      <w:contextualSpacing/>
      <w:outlineLvl w:val="0"/>
    </w:pPr>
    <w:rPr>
      <w:rFonts w:ascii="Cambria" w:hAnsi="Cambria"/>
      <w:smallCaps/>
      <w:color w:val="0F243E"/>
      <w:spacing w:val="20"/>
      <w:sz w:val="32"/>
      <w:szCs w:val="32"/>
    </w:rPr>
  </w:style>
  <w:style w:type="paragraph" w:styleId="Titolo2">
    <w:name w:val="heading 2"/>
    <w:basedOn w:val="Normale"/>
    <w:next w:val="Normale"/>
    <w:link w:val="Titolo2Carattere"/>
    <w:uiPriority w:val="9"/>
    <w:unhideWhenUsed/>
    <w:qFormat/>
    <w:rsid w:val="00A3459E"/>
    <w:pPr>
      <w:spacing w:before="120" w:after="60"/>
      <w:contextualSpacing/>
      <w:outlineLvl w:val="1"/>
    </w:pPr>
    <w:rPr>
      <w:rFonts w:ascii="Cambria" w:hAnsi="Cambria"/>
      <w:smallCaps/>
      <w:color w:val="17365D"/>
      <w:spacing w:val="20"/>
      <w:sz w:val="28"/>
      <w:szCs w:val="28"/>
    </w:rPr>
  </w:style>
  <w:style w:type="paragraph" w:styleId="Titolo3">
    <w:name w:val="heading 3"/>
    <w:basedOn w:val="Normale"/>
    <w:next w:val="Normale"/>
    <w:link w:val="Titolo3Carattere"/>
    <w:uiPriority w:val="9"/>
    <w:unhideWhenUsed/>
    <w:qFormat/>
    <w:rsid w:val="00A3459E"/>
    <w:pPr>
      <w:spacing w:before="120" w:after="60"/>
      <w:contextualSpacing/>
      <w:outlineLvl w:val="2"/>
    </w:pPr>
    <w:rPr>
      <w:rFonts w:ascii="Cambria" w:hAnsi="Cambria"/>
      <w:smallCaps/>
      <w:color w:val="1F497D"/>
      <w:spacing w:val="20"/>
    </w:rPr>
  </w:style>
  <w:style w:type="paragraph" w:styleId="Titolo4">
    <w:name w:val="heading 4"/>
    <w:basedOn w:val="Normale"/>
    <w:next w:val="Normale"/>
    <w:link w:val="Titolo4Carattere"/>
    <w:uiPriority w:val="9"/>
    <w:unhideWhenUsed/>
    <w:qFormat/>
    <w:rsid w:val="00A3459E"/>
    <w:pPr>
      <w:pBdr>
        <w:bottom w:val="single" w:sz="4" w:space="1" w:color="71A0DC"/>
      </w:pBdr>
      <w:spacing w:before="200" w:after="100"/>
      <w:contextualSpacing/>
      <w:outlineLvl w:val="3"/>
    </w:pPr>
    <w:rPr>
      <w:rFonts w:ascii="Cambria" w:hAnsi="Cambria"/>
      <w:b/>
      <w:bCs/>
      <w:smallCaps/>
      <w:color w:val="3071C3"/>
      <w:spacing w:val="20"/>
    </w:rPr>
  </w:style>
  <w:style w:type="paragraph" w:styleId="Titolo5">
    <w:name w:val="heading 5"/>
    <w:basedOn w:val="Normale"/>
    <w:next w:val="Normale"/>
    <w:link w:val="Titolo5Carattere"/>
    <w:uiPriority w:val="9"/>
    <w:unhideWhenUsed/>
    <w:qFormat/>
    <w:rsid w:val="00A3459E"/>
    <w:pPr>
      <w:pBdr>
        <w:bottom w:val="single" w:sz="4" w:space="1" w:color="548DD4"/>
      </w:pBdr>
      <w:spacing w:before="200" w:after="100"/>
      <w:contextualSpacing/>
      <w:outlineLvl w:val="4"/>
    </w:pPr>
    <w:rPr>
      <w:rFonts w:ascii="Cambria" w:hAnsi="Cambria"/>
      <w:smallCaps/>
      <w:color w:val="3071C3"/>
      <w:spacing w:val="20"/>
    </w:rPr>
  </w:style>
  <w:style w:type="paragraph" w:styleId="Titolo6">
    <w:name w:val="heading 6"/>
    <w:basedOn w:val="Normale"/>
    <w:next w:val="Normale"/>
    <w:link w:val="Titolo6Carattere"/>
    <w:uiPriority w:val="9"/>
    <w:semiHidden/>
    <w:unhideWhenUsed/>
    <w:qFormat/>
    <w:rsid w:val="00A3459E"/>
    <w:pPr>
      <w:pBdr>
        <w:bottom w:val="dotted" w:sz="8" w:space="1" w:color="938953"/>
      </w:pBdr>
      <w:spacing w:before="200" w:after="100"/>
      <w:contextualSpacing/>
      <w:outlineLvl w:val="5"/>
    </w:pPr>
    <w:rPr>
      <w:rFonts w:ascii="Cambria" w:hAnsi="Cambria"/>
      <w:smallCaps/>
      <w:color w:val="938953"/>
      <w:spacing w:val="20"/>
    </w:rPr>
  </w:style>
  <w:style w:type="paragraph" w:styleId="Titolo7">
    <w:name w:val="heading 7"/>
    <w:basedOn w:val="Normale"/>
    <w:next w:val="Normale"/>
    <w:link w:val="Titolo7Carattere"/>
    <w:uiPriority w:val="9"/>
    <w:semiHidden/>
    <w:unhideWhenUsed/>
    <w:qFormat/>
    <w:rsid w:val="00A3459E"/>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Titolo8">
    <w:name w:val="heading 8"/>
    <w:basedOn w:val="Normale"/>
    <w:next w:val="Normale"/>
    <w:link w:val="Titolo8Carattere"/>
    <w:uiPriority w:val="9"/>
    <w:semiHidden/>
    <w:unhideWhenUsed/>
    <w:qFormat/>
    <w:rsid w:val="00A3459E"/>
    <w:pPr>
      <w:spacing w:before="200" w:after="60"/>
      <w:contextualSpacing/>
      <w:outlineLvl w:val="7"/>
    </w:pPr>
    <w:rPr>
      <w:rFonts w:ascii="Cambria" w:hAnsi="Cambria"/>
      <w:b/>
      <w:smallCaps/>
      <w:color w:val="938953"/>
      <w:spacing w:val="20"/>
      <w:sz w:val="16"/>
      <w:szCs w:val="16"/>
    </w:rPr>
  </w:style>
  <w:style w:type="paragraph" w:styleId="Titolo9">
    <w:name w:val="heading 9"/>
    <w:basedOn w:val="Normale"/>
    <w:next w:val="Normale"/>
    <w:link w:val="Titolo9Carattere"/>
    <w:uiPriority w:val="9"/>
    <w:semiHidden/>
    <w:unhideWhenUsed/>
    <w:qFormat/>
    <w:rsid w:val="00A3459E"/>
    <w:pPr>
      <w:spacing w:before="200" w:after="60"/>
      <w:contextualSpacing/>
      <w:outlineLvl w:val="8"/>
    </w:pPr>
    <w:rPr>
      <w:rFonts w:ascii="Cambria" w:hAnsi="Cambria"/>
      <w:smallCaps/>
      <w:color w:val="938953"/>
      <w:spacing w:val="20"/>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459E"/>
    <w:rPr>
      <w:rFonts w:ascii="Cambria" w:eastAsia="Times New Roman" w:hAnsi="Cambria" w:cs="Times New Roman"/>
      <w:smallCaps/>
      <w:color w:val="0F243E"/>
      <w:spacing w:val="20"/>
      <w:sz w:val="32"/>
      <w:szCs w:val="32"/>
    </w:rPr>
  </w:style>
  <w:style w:type="character" w:customStyle="1" w:styleId="Titolo2Carattere">
    <w:name w:val="Titolo 2 Carattere"/>
    <w:basedOn w:val="Carpredefinitoparagrafo"/>
    <w:link w:val="Titolo2"/>
    <w:uiPriority w:val="9"/>
    <w:rsid w:val="00A3459E"/>
    <w:rPr>
      <w:rFonts w:ascii="Cambria" w:eastAsia="Times New Roman" w:hAnsi="Cambria" w:cs="Times New Roman"/>
      <w:smallCaps/>
      <w:color w:val="17365D"/>
      <w:spacing w:val="20"/>
      <w:sz w:val="28"/>
      <w:szCs w:val="28"/>
    </w:rPr>
  </w:style>
  <w:style w:type="character" w:customStyle="1" w:styleId="Titolo3Carattere">
    <w:name w:val="Titolo 3 Carattere"/>
    <w:basedOn w:val="Carpredefinitoparagrafo"/>
    <w:link w:val="Titolo3"/>
    <w:uiPriority w:val="9"/>
    <w:rsid w:val="00A3459E"/>
    <w:rPr>
      <w:rFonts w:ascii="Cambria" w:eastAsia="Times New Roman" w:hAnsi="Cambria" w:cs="Times New Roman"/>
      <w:smallCaps/>
      <w:color w:val="1F497D"/>
      <w:spacing w:val="20"/>
      <w:sz w:val="24"/>
      <w:szCs w:val="24"/>
    </w:rPr>
  </w:style>
  <w:style w:type="character" w:customStyle="1" w:styleId="Titolo4Carattere">
    <w:name w:val="Titolo 4 Carattere"/>
    <w:basedOn w:val="Carpredefinitoparagrafo"/>
    <w:link w:val="Titolo4"/>
    <w:uiPriority w:val="9"/>
    <w:rsid w:val="00A3459E"/>
    <w:rPr>
      <w:rFonts w:ascii="Cambria" w:eastAsia="Times New Roman" w:hAnsi="Cambria" w:cs="Times New Roman"/>
      <w:b/>
      <w:bCs/>
      <w:smallCaps/>
      <w:color w:val="3071C3"/>
      <w:spacing w:val="20"/>
    </w:rPr>
  </w:style>
  <w:style w:type="character" w:customStyle="1" w:styleId="Titolo5Carattere">
    <w:name w:val="Titolo 5 Carattere"/>
    <w:basedOn w:val="Carpredefinitoparagrafo"/>
    <w:link w:val="Titolo5"/>
    <w:uiPriority w:val="9"/>
    <w:rsid w:val="00A3459E"/>
    <w:rPr>
      <w:rFonts w:ascii="Cambria" w:eastAsia="Times New Roman" w:hAnsi="Cambria" w:cs="Times New Roman"/>
      <w:smallCaps/>
      <w:color w:val="3071C3"/>
      <w:spacing w:val="20"/>
    </w:rPr>
  </w:style>
  <w:style w:type="character" w:customStyle="1" w:styleId="Titolo6Carattere">
    <w:name w:val="Titolo 6 Carattere"/>
    <w:basedOn w:val="Carpredefinitoparagrafo"/>
    <w:link w:val="Titolo6"/>
    <w:uiPriority w:val="9"/>
    <w:semiHidden/>
    <w:rsid w:val="00A3459E"/>
    <w:rPr>
      <w:rFonts w:ascii="Cambria" w:eastAsia="Times New Roman" w:hAnsi="Cambria" w:cs="Times New Roman"/>
      <w:smallCaps/>
      <w:color w:val="938953"/>
      <w:spacing w:val="20"/>
    </w:rPr>
  </w:style>
  <w:style w:type="character" w:customStyle="1" w:styleId="Titolo7Carattere">
    <w:name w:val="Titolo 7 Carattere"/>
    <w:basedOn w:val="Carpredefinitoparagrafo"/>
    <w:link w:val="Titolo7"/>
    <w:uiPriority w:val="9"/>
    <w:semiHidden/>
    <w:rsid w:val="00A3459E"/>
    <w:rPr>
      <w:rFonts w:ascii="Cambria" w:eastAsia="Times New Roman" w:hAnsi="Cambria" w:cs="Times New Roman"/>
      <w:b/>
      <w:bCs/>
      <w:smallCaps/>
      <w:color w:val="938953"/>
      <w:spacing w:val="20"/>
      <w:sz w:val="16"/>
      <w:szCs w:val="16"/>
    </w:rPr>
  </w:style>
  <w:style w:type="character" w:customStyle="1" w:styleId="Titolo8Carattere">
    <w:name w:val="Titolo 8 Carattere"/>
    <w:basedOn w:val="Carpredefinitoparagrafo"/>
    <w:link w:val="Titolo8"/>
    <w:uiPriority w:val="9"/>
    <w:semiHidden/>
    <w:rsid w:val="00A3459E"/>
    <w:rPr>
      <w:rFonts w:ascii="Cambria" w:eastAsia="Times New Roman" w:hAnsi="Cambria" w:cs="Times New Roman"/>
      <w:b/>
      <w:smallCaps/>
      <w:color w:val="938953"/>
      <w:spacing w:val="20"/>
      <w:sz w:val="16"/>
      <w:szCs w:val="16"/>
    </w:rPr>
  </w:style>
  <w:style w:type="character" w:customStyle="1" w:styleId="Titolo9Carattere">
    <w:name w:val="Titolo 9 Carattere"/>
    <w:basedOn w:val="Carpredefinitoparagrafo"/>
    <w:link w:val="Titolo9"/>
    <w:uiPriority w:val="9"/>
    <w:semiHidden/>
    <w:rsid w:val="00A3459E"/>
    <w:rPr>
      <w:rFonts w:ascii="Cambria" w:eastAsia="Times New Roman" w:hAnsi="Cambria" w:cs="Times New Roman"/>
      <w:smallCaps/>
      <w:color w:val="938953"/>
      <w:spacing w:val="20"/>
      <w:sz w:val="16"/>
      <w:szCs w:val="16"/>
    </w:rPr>
  </w:style>
  <w:style w:type="paragraph" w:styleId="Didascalia">
    <w:name w:val="caption"/>
    <w:basedOn w:val="Normale"/>
    <w:next w:val="Normale"/>
    <w:uiPriority w:val="35"/>
    <w:semiHidden/>
    <w:unhideWhenUsed/>
    <w:qFormat/>
    <w:rsid w:val="00A3459E"/>
    <w:rPr>
      <w:b/>
      <w:bCs/>
      <w:smallCaps/>
      <w:color w:val="1F497D"/>
      <w:spacing w:val="10"/>
      <w:sz w:val="18"/>
      <w:szCs w:val="18"/>
    </w:rPr>
  </w:style>
  <w:style w:type="paragraph" w:styleId="Titolo">
    <w:name w:val="Title"/>
    <w:next w:val="Normale"/>
    <w:link w:val="TitoloCarattere"/>
    <w:uiPriority w:val="10"/>
    <w:qFormat/>
    <w:rsid w:val="00A3459E"/>
    <w:pPr>
      <w:spacing w:after="160"/>
      <w:contextualSpacing/>
    </w:pPr>
    <w:rPr>
      <w:rFonts w:ascii="Cambria" w:eastAsia="Times New Roman" w:hAnsi="Cambria"/>
      <w:smallCaps/>
      <w:color w:val="17365D"/>
      <w:spacing w:val="5"/>
      <w:sz w:val="72"/>
      <w:szCs w:val="72"/>
      <w:lang w:val="en-US" w:eastAsia="en-US" w:bidi="en-US"/>
    </w:rPr>
  </w:style>
  <w:style w:type="character" w:customStyle="1" w:styleId="TitoloCarattere">
    <w:name w:val="Titolo Carattere"/>
    <w:basedOn w:val="Carpredefinitoparagrafo"/>
    <w:link w:val="Titolo"/>
    <w:uiPriority w:val="10"/>
    <w:rsid w:val="00A3459E"/>
    <w:rPr>
      <w:rFonts w:ascii="Cambria" w:eastAsia="Times New Roman" w:hAnsi="Cambria"/>
      <w:smallCaps/>
      <w:color w:val="17365D"/>
      <w:spacing w:val="5"/>
      <w:sz w:val="72"/>
      <w:szCs w:val="72"/>
      <w:lang w:val="en-US" w:eastAsia="en-US" w:bidi="en-US"/>
    </w:rPr>
  </w:style>
  <w:style w:type="paragraph" w:styleId="Sottotitolo">
    <w:name w:val="Subtitle"/>
    <w:next w:val="Normale"/>
    <w:link w:val="SottotitoloCarattere"/>
    <w:uiPriority w:val="11"/>
    <w:qFormat/>
    <w:rsid w:val="00A3459E"/>
    <w:pPr>
      <w:spacing w:after="600"/>
    </w:pPr>
    <w:rPr>
      <w:smallCaps/>
      <w:color w:val="938953"/>
      <w:spacing w:val="5"/>
      <w:sz w:val="28"/>
      <w:szCs w:val="28"/>
      <w:lang w:val="en-US" w:eastAsia="en-US" w:bidi="en-US"/>
    </w:rPr>
  </w:style>
  <w:style w:type="character" w:customStyle="1" w:styleId="SottotitoloCarattere">
    <w:name w:val="Sottotitolo Carattere"/>
    <w:basedOn w:val="Carpredefinitoparagrafo"/>
    <w:link w:val="Sottotitolo"/>
    <w:uiPriority w:val="11"/>
    <w:rsid w:val="00A3459E"/>
    <w:rPr>
      <w:smallCaps/>
      <w:color w:val="938953"/>
      <w:spacing w:val="5"/>
      <w:sz w:val="28"/>
      <w:szCs w:val="28"/>
      <w:lang w:val="en-US" w:eastAsia="en-US" w:bidi="en-US"/>
    </w:rPr>
  </w:style>
  <w:style w:type="character" w:styleId="Enfasigrassetto">
    <w:name w:val="Strong"/>
    <w:uiPriority w:val="22"/>
    <w:qFormat/>
    <w:rsid w:val="00A3459E"/>
    <w:rPr>
      <w:b/>
      <w:bCs/>
      <w:spacing w:val="0"/>
    </w:rPr>
  </w:style>
  <w:style w:type="character" w:styleId="Enfasicorsivo">
    <w:name w:val="Emphasis"/>
    <w:uiPriority w:val="20"/>
    <w:qFormat/>
    <w:rsid w:val="00A3459E"/>
    <w:rPr>
      <w:b/>
      <w:bCs/>
      <w:smallCaps/>
      <w:dstrike w:val="0"/>
      <w:color w:val="5A5A5A"/>
      <w:spacing w:val="20"/>
      <w:kern w:val="0"/>
      <w:vertAlign w:val="baseline"/>
    </w:rPr>
  </w:style>
  <w:style w:type="paragraph" w:styleId="Nessunaspaziatura">
    <w:name w:val="No Spacing"/>
    <w:basedOn w:val="Normale"/>
    <w:uiPriority w:val="1"/>
    <w:qFormat/>
    <w:rsid w:val="00A3459E"/>
  </w:style>
  <w:style w:type="paragraph" w:styleId="Paragrafoelenco">
    <w:name w:val="List Paragraph"/>
    <w:basedOn w:val="Normale"/>
    <w:uiPriority w:val="34"/>
    <w:qFormat/>
    <w:rsid w:val="00A3459E"/>
    <w:pPr>
      <w:ind w:left="720"/>
      <w:contextualSpacing/>
    </w:pPr>
  </w:style>
  <w:style w:type="paragraph" w:styleId="Citazione">
    <w:name w:val="Quote"/>
    <w:basedOn w:val="Normale"/>
    <w:next w:val="Normale"/>
    <w:link w:val="CitazioneCarattere"/>
    <w:uiPriority w:val="29"/>
    <w:qFormat/>
    <w:rsid w:val="00A3459E"/>
    <w:rPr>
      <w:i/>
      <w:iCs/>
    </w:rPr>
  </w:style>
  <w:style w:type="character" w:customStyle="1" w:styleId="CitazioneCarattere">
    <w:name w:val="Citazione Carattere"/>
    <w:basedOn w:val="Carpredefinitoparagrafo"/>
    <w:link w:val="Citazione"/>
    <w:uiPriority w:val="29"/>
    <w:rsid w:val="00A3459E"/>
    <w:rPr>
      <w:i/>
      <w:iCs/>
      <w:color w:val="5A5A5A"/>
      <w:sz w:val="20"/>
      <w:szCs w:val="20"/>
    </w:rPr>
  </w:style>
  <w:style w:type="paragraph" w:styleId="Citazioneintensa">
    <w:name w:val="Intense Quote"/>
    <w:basedOn w:val="Normale"/>
    <w:next w:val="Normale"/>
    <w:link w:val="CitazioneintensaCarattere"/>
    <w:uiPriority w:val="30"/>
    <w:qFormat/>
    <w:rsid w:val="00A3459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zioneintensaCarattere">
    <w:name w:val="Citazione intensa Carattere"/>
    <w:basedOn w:val="Carpredefinitoparagrafo"/>
    <w:link w:val="Citazioneintensa"/>
    <w:uiPriority w:val="30"/>
    <w:rsid w:val="00A3459E"/>
    <w:rPr>
      <w:rFonts w:ascii="Cambria" w:eastAsia="Times New Roman" w:hAnsi="Cambria" w:cs="Times New Roman"/>
      <w:smallCaps/>
      <w:color w:val="365F91"/>
      <w:sz w:val="20"/>
      <w:szCs w:val="20"/>
    </w:rPr>
  </w:style>
  <w:style w:type="character" w:styleId="Enfasidelicata">
    <w:name w:val="Subtle Emphasis"/>
    <w:uiPriority w:val="19"/>
    <w:qFormat/>
    <w:rsid w:val="00A3459E"/>
    <w:rPr>
      <w:smallCaps/>
      <w:dstrike w:val="0"/>
      <w:color w:val="5A5A5A"/>
      <w:vertAlign w:val="baseline"/>
    </w:rPr>
  </w:style>
  <w:style w:type="character" w:styleId="Enfasiintensa">
    <w:name w:val="Intense Emphasis"/>
    <w:uiPriority w:val="21"/>
    <w:qFormat/>
    <w:rsid w:val="00A3459E"/>
    <w:rPr>
      <w:b/>
      <w:bCs/>
      <w:smallCaps/>
      <w:color w:val="4F81BD"/>
      <w:spacing w:val="40"/>
    </w:rPr>
  </w:style>
  <w:style w:type="character" w:styleId="Riferimentodelicato">
    <w:name w:val="Subtle Reference"/>
    <w:uiPriority w:val="31"/>
    <w:qFormat/>
    <w:rsid w:val="00A3459E"/>
    <w:rPr>
      <w:rFonts w:ascii="Cambria" w:eastAsia="Times New Roman" w:hAnsi="Cambria" w:cs="Times New Roman"/>
      <w:i/>
      <w:iCs/>
      <w:smallCaps/>
      <w:color w:val="5A5A5A"/>
      <w:spacing w:val="20"/>
    </w:rPr>
  </w:style>
  <w:style w:type="character" w:styleId="Riferimentointenso">
    <w:name w:val="Intense Reference"/>
    <w:uiPriority w:val="32"/>
    <w:qFormat/>
    <w:rsid w:val="00A3459E"/>
    <w:rPr>
      <w:rFonts w:ascii="Cambria" w:eastAsia="Times New Roman" w:hAnsi="Cambria" w:cs="Times New Roman"/>
      <w:b/>
      <w:bCs/>
      <w:i/>
      <w:iCs/>
      <w:smallCaps/>
      <w:color w:val="17365D"/>
      <w:spacing w:val="20"/>
    </w:rPr>
  </w:style>
  <w:style w:type="character" w:styleId="Titolodellibro">
    <w:name w:val="Book Title"/>
    <w:uiPriority w:val="33"/>
    <w:qFormat/>
    <w:rsid w:val="00A3459E"/>
    <w:rPr>
      <w:rFonts w:ascii="Cambria" w:eastAsia="Times New Roman" w:hAnsi="Cambria" w:cs="Times New Roman"/>
      <w:b/>
      <w:bCs/>
      <w:smallCaps/>
      <w:color w:val="17365D"/>
      <w:spacing w:val="10"/>
      <w:u w:val="single"/>
    </w:rPr>
  </w:style>
  <w:style w:type="paragraph" w:styleId="Titolosommario">
    <w:name w:val="TOC Heading"/>
    <w:basedOn w:val="Titolo1"/>
    <w:next w:val="Normale"/>
    <w:uiPriority w:val="39"/>
    <w:semiHidden/>
    <w:unhideWhenUsed/>
    <w:qFormat/>
    <w:rsid w:val="00A3459E"/>
    <w:pPr>
      <w:outlineLvl w:val="9"/>
    </w:pPr>
  </w:style>
  <w:style w:type="paragraph" w:customStyle="1" w:styleId="Default">
    <w:name w:val="Default"/>
    <w:rsid w:val="00747FC7"/>
    <w:pPr>
      <w:autoSpaceDE w:val="0"/>
      <w:autoSpaceDN w:val="0"/>
      <w:adjustRightInd w:val="0"/>
    </w:pPr>
    <w:rPr>
      <w:rFonts w:ascii="Times New Roman" w:eastAsia="Times New Roman" w:hAnsi="Times New Roman"/>
      <w:color w:val="000000"/>
      <w:sz w:val="24"/>
      <w:szCs w:val="24"/>
    </w:rPr>
  </w:style>
  <w:style w:type="character" w:styleId="Collegamentoipertestuale">
    <w:name w:val="Hyperlink"/>
    <w:rsid w:val="00747FC7"/>
    <w:rPr>
      <w:color w:val="0000FF"/>
      <w:u w:val="single"/>
    </w:rPr>
  </w:style>
  <w:style w:type="paragraph" w:styleId="Testofumetto">
    <w:name w:val="Balloon Text"/>
    <w:basedOn w:val="Normale"/>
    <w:link w:val="TestofumettoCarattere"/>
    <w:uiPriority w:val="99"/>
    <w:semiHidden/>
    <w:unhideWhenUsed/>
    <w:rsid w:val="00A26B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6BCF"/>
    <w:rPr>
      <w:rFonts w:ascii="Tahoma" w:eastAsia="Times New Roman" w:hAnsi="Tahoma" w:cs="Tahoma"/>
      <w:sz w:val="16"/>
      <w:szCs w:val="16"/>
    </w:rPr>
  </w:style>
  <w:style w:type="paragraph" w:styleId="Revisione">
    <w:name w:val="Revision"/>
    <w:hidden/>
    <w:uiPriority w:val="99"/>
    <w:semiHidden/>
    <w:rsid w:val="00A762FA"/>
    <w:rPr>
      <w:rFonts w:ascii="Times New Roman" w:eastAsia="Times New Roman" w:hAnsi="Times New Roman"/>
      <w:sz w:val="24"/>
      <w:szCs w:val="24"/>
    </w:rPr>
  </w:style>
  <w:style w:type="character" w:styleId="Rimandocommento">
    <w:name w:val="annotation reference"/>
    <w:basedOn w:val="Carpredefinitoparagrafo"/>
    <w:uiPriority w:val="99"/>
    <w:semiHidden/>
    <w:unhideWhenUsed/>
    <w:rsid w:val="00A93CA0"/>
    <w:rPr>
      <w:sz w:val="16"/>
      <w:szCs w:val="16"/>
    </w:rPr>
  </w:style>
  <w:style w:type="paragraph" w:styleId="Testocommento">
    <w:name w:val="annotation text"/>
    <w:basedOn w:val="Normale"/>
    <w:link w:val="TestocommentoCarattere"/>
    <w:uiPriority w:val="99"/>
    <w:semiHidden/>
    <w:unhideWhenUsed/>
    <w:rsid w:val="00A93CA0"/>
    <w:rPr>
      <w:sz w:val="20"/>
      <w:szCs w:val="20"/>
    </w:rPr>
  </w:style>
  <w:style w:type="character" w:customStyle="1" w:styleId="TestocommentoCarattere">
    <w:name w:val="Testo commento Carattere"/>
    <w:basedOn w:val="Carpredefinitoparagrafo"/>
    <w:link w:val="Testocommento"/>
    <w:uiPriority w:val="99"/>
    <w:semiHidden/>
    <w:rsid w:val="00A93CA0"/>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A93CA0"/>
    <w:rPr>
      <w:b/>
      <w:bCs/>
    </w:rPr>
  </w:style>
  <w:style w:type="character" w:customStyle="1" w:styleId="SoggettocommentoCarattere">
    <w:name w:val="Soggetto commento Carattere"/>
    <w:basedOn w:val="TestocommentoCarattere"/>
    <w:link w:val="Soggettocommento"/>
    <w:uiPriority w:val="99"/>
    <w:semiHidden/>
    <w:rsid w:val="00A93CA0"/>
    <w:rPr>
      <w:rFonts w:ascii="Times New Roman" w:eastAsia="Times New Roman" w:hAnsi="Times New Roman"/>
      <w:b/>
      <w:bCs/>
    </w:rPr>
  </w:style>
  <w:style w:type="paragraph" w:styleId="Intestazione">
    <w:name w:val="header"/>
    <w:basedOn w:val="Normale"/>
    <w:link w:val="IntestazioneCarattere"/>
    <w:uiPriority w:val="99"/>
    <w:unhideWhenUsed/>
    <w:rsid w:val="008B7213"/>
    <w:pPr>
      <w:tabs>
        <w:tab w:val="center" w:pos="4819"/>
        <w:tab w:val="right" w:pos="9638"/>
      </w:tabs>
    </w:pPr>
  </w:style>
  <w:style w:type="character" w:customStyle="1" w:styleId="IntestazioneCarattere">
    <w:name w:val="Intestazione Carattere"/>
    <w:basedOn w:val="Carpredefinitoparagrafo"/>
    <w:link w:val="Intestazione"/>
    <w:uiPriority w:val="99"/>
    <w:rsid w:val="008B7213"/>
    <w:rPr>
      <w:rFonts w:ascii="Times New Roman" w:eastAsia="Times New Roman" w:hAnsi="Times New Roman"/>
      <w:sz w:val="24"/>
      <w:szCs w:val="24"/>
    </w:rPr>
  </w:style>
  <w:style w:type="paragraph" w:styleId="Pidipagina">
    <w:name w:val="footer"/>
    <w:basedOn w:val="Normale"/>
    <w:link w:val="PidipaginaCarattere"/>
    <w:uiPriority w:val="99"/>
    <w:unhideWhenUsed/>
    <w:rsid w:val="008B7213"/>
    <w:pPr>
      <w:tabs>
        <w:tab w:val="center" w:pos="4819"/>
        <w:tab w:val="right" w:pos="9638"/>
      </w:tabs>
    </w:pPr>
  </w:style>
  <w:style w:type="character" w:customStyle="1" w:styleId="PidipaginaCarattere">
    <w:name w:val="Piè di pagina Carattere"/>
    <w:basedOn w:val="Carpredefinitoparagrafo"/>
    <w:link w:val="Pidipagina"/>
    <w:uiPriority w:val="99"/>
    <w:rsid w:val="008B721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7FC7"/>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A3459E"/>
    <w:pPr>
      <w:spacing w:before="400" w:after="60"/>
      <w:contextualSpacing/>
      <w:outlineLvl w:val="0"/>
    </w:pPr>
    <w:rPr>
      <w:rFonts w:ascii="Cambria" w:hAnsi="Cambria"/>
      <w:smallCaps/>
      <w:color w:val="0F243E"/>
      <w:spacing w:val="20"/>
      <w:sz w:val="32"/>
      <w:szCs w:val="32"/>
    </w:rPr>
  </w:style>
  <w:style w:type="paragraph" w:styleId="Titolo2">
    <w:name w:val="heading 2"/>
    <w:basedOn w:val="Normale"/>
    <w:next w:val="Normale"/>
    <w:link w:val="Titolo2Carattere"/>
    <w:uiPriority w:val="9"/>
    <w:unhideWhenUsed/>
    <w:qFormat/>
    <w:rsid w:val="00A3459E"/>
    <w:pPr>
      <w:spacing w:before="120" w:after="60"/>
      <w:contextualSpacing/>
      <w:outlineLvl w:val="1"/>
    </w:pPr>
    <w:rPr>
      <w:rFonts w:ascii="Cambria" w:hAnsi="Cambria"/>
      <w:smallCaps/>
      <w:color w:val="17365D"/>
      <w:spacing w:val="20"/>
      <w:sz w:val="28"/>
      <w:szCs w:val="28"/>
    </w:rPr>
  </w:style>
  <w:style w:type="paragraph" w:styleId="Titolo3">
    <w:name w:val="heading 3"/>
    <w:basedOn w:val="Normale"/>
    <w:next w:val="Normale"/>
    <w:link w:val="Titolo3Carattere"/>
    <w:uiPriority w:val="9"/>
    <w:unhideWhenUsed/>
    <w:qFormat/>
    <w:rsid w:val="00A3459E"/>
    <w:pPr>
      <w:spacing w:before="120" w:after="60"/>
      <w:contextualSpacing/>
      <w:outlineLvl w:val="2"/>
    </w:pPr>
    <w:rPr>
      <w:rFonts w:ascii="Cambria" w:hAnsi="Cambria"/>
      <w:smallCaps/>
      <w:color w:val="1F497D"/>
      <w:spacing w:val="20"/>
    </w:rPr>
  </w:style>
  <w:style w:type="paragraph" w:styleId="Titolo4">
    <w:name w:val="heading 4"/>
    <w:basedOn w:val="Normale"/>
    <w:next w:val="Normale"/>
    <w:link w:val="Titolo4Carattere"/>
    <w:uiPriority w:val="9"/>
    <w:unhideWhenUsed/>
    <w:qFormat/>
    <w:rsid w:val="00A3459E"/>
    <w:pPr>
      <w:pBdr>
        <w:bottom w:val="single" w:sz="4" w:space="1" w:color="71A0DC"/>
      </w:pBdr>
      <w:spacing w:before="200" w:after="100"/>
      <w:contextualSpacing/>
      <w:outlineLvl w:val="3"/>
    </w:pPr>
    <w:rPr>
      <w:rFonts w:ascii="Cambria" w:hAnsi="Cambria"/>
      <w:b/>
      <w:bCs/>
      <w:smallCaps/>
      <w:color w:val="3071C3"/>
      <w:spacing w:val="20"/>
    </w:rPr>
  </w:style>
  <w:style w:type="paragraph" w:styleId="Titolo5">
    <w:name w:val="heading 5"/>
    <w:basedOn w:val="Normale"/>
    <w:next w:val="Normale"/>
    <w:link w:val="Titolo5Carattere"/>
    <w:uiPriority w:val="9"/>
    <w:unhideWhenUsed/>
    <w:qFormat/>
    <w:rsid w:val="00A3459E"/>
    <w:pPr>
      <w:pBdr>
        <w:bottom w:val="single" w:sz="4" w:space="1" w:color="548DD4"/>
      </w:pBdr>
      <w:spacing w:before="200" w:after="100"/>
      <w:contextualSpacing/>
      <w:outlineLvl w:val="4"/>
    </w:pPr>
    <w:rPr>
      <w:rFonts w:ascii="Cambria" w:hAnsi="Cambria"/>
      <w:smallCaps/>
      <w:color w:val="3071C3"/>
      <w:spacing w:val="20"/>
    </w:rPr>
  </w:style>
  <w:style w:type="paragraph" w:styleId="Titolo6">
    <w:name w:val="heading 6"/>
    <w:basedOn w:val="Normale"/>
    <w:next w:val="Normale"/>
    <w:link w:val="Titolo6Carattere"/>
    <w:uiPriority w:val="9"/>
    <w:semiHidden/>
    <w:unhideWhenUsed/>
    <w:qFormat/>
    <w:rsid w:val="00A3459E"/>
    <w:pPr>
      <w:pBdr>
        <w:bottom w:val="dotted" w:sz="8" w:space="1" w:color="938953"/>
      </w:pBdr>
      <w:spacing w:before="200" w:after="100"/>
      <w:contextualSpacing/>
      <w:outlineLvl w:val="5"/>
    </w:pPr>
    <w:rPr>
      <w:rFonts w:ascii="Cambria" w:hAnsi="Cambria"/>
      <w:smallCaps/>
      <w:color w:val="938953"/>
      <w:spacing w:val="20"/>
    </w:rPr>
  </w:style>
  <w:style w:type="paragraph" w:styleId="Titolo7">
    <w:name w:val="heading 7"/>
    <w:basedOn w:val="Normale"/>
    <w:next w:val="Normale"/>
    <w:link w:val="Titolo7Carattere"/>
    <w:uiPriority w:val="9"/>
    <w:semiHidden/>
    <w:unhideWhenUsed/>
    <w:qFormat/>
    <w:rsid w:val="00A3459E"/>
    <w:pPr>
      <w:pBdr>
        <w:bottom w:val="dotted" w:sz="8" w:space="1" w:color="938953"/>
      </w:pBdr>
      <w:spacing w:before="200" w:after="100"/>
      <w:contextualSpacing/>
      <w:outlineLvl w:val="6"/>
    </w:pPr>
    <w:rPr>
      <w:rFonts w:ascii="Cambria" w:hAnsi="Cambria"/>
      <w:b/>
      <w:bCs/>
      <w:smallCaps/>
      <w:color w:val="938953"/>
      <w:spacing w:val="20"/>
      <w:sz w:val="16"/>
      <w:szCs w:val="16"/>
    </w:rPr>
  </w:style>
  <w:style w:type="paragraph" w:styleId="Titolo8">
    <w:name w:val="heading 8"/>
    <w:basedOn w:val="Normale"/>
    <w:next w:val="Normale"/>
    <w:link w:val="Titolo8Carattere"/>
    <w:uiPriority w:val="9"/>
    <w:semiHidden/>
    <w:unhideWhenUsed/>
    <w:qFormat/>
    <w:rsid w:val="00A3459E"/>
    <w:pPr>
      <w:spacing w:before="200" w:after="60"/>
      <w:contextualSpacing/>
      <w:outlineLvl w:val="7"/>
    </w:pPr>
    <w:rPr>
      <w:rFonts w:ascii="Cambria" w:hAnsi="Cambria"/>
      <w:b/>
      <w:smallCaps/>
      <w:color w:val="938953"/>
      <w:spacing w:val="20"/>
      <w:sz w:val="16"/>
      <w:szCs w:val="16"/>
    </w:rPr>
  </w:style>
  <w:style w:type="paragraph" w:styleId="Titolo9">
    <w:name w:val="heading 9"/>
    <w:basedOn w:val="Normale"/>
    <w:next w:val="Normale"/>
    <w:link w:val="Titolo9Carattere"/>
    <w:uiPriority w:val="9"/>
    <w:semiHidden/>
    <w:unhideWhenUsed/>
    <w:qFormat/>
    <w:rsid w:val="00A3459E"/>
    <w:pPr>
      <w:spacing w:before="200" w:after="60"/>
      <w:contextualSpacing/>
      <w:outlineLvl w:val="8"/>
    </w:pPr>
    <w:rPr>
      <w:rFonts w:ascii="Cambria" w:hAnsi="Cambria"/>
      <w:smallCaps/>
      <w:color w:val="938953"/>
      <w:spacing w:val="20"/>
      <w:sz w:val="16"/>
      <w:szCs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3459E"/>
    <w:rPr>
      <w:rFonts w:ascii="Cambria" w:eastAsia="Times New Roman" w:hAnsi="Cambria" w:cs="Times New Roman"/>
      <w:smallCaps/>
      <w:color w:val="0F243E"/>
      <w:spacing w:val="20"/>
      <w:sz w:val="32"/>
      <w:szCs w:val="32"/>
    </w:rPr>
  </w:style>
  <w:style w:type="character" w:customStyle="1" w:styleId="Titolo2Carattere">
    <w:name w:val="Titolo 2 Carattere"/>
    <w:basedOn w:val="Carpredefinitoparagrafo"/>
    <w:link w:val="Titolo2"/>
    <w:uiPriority w:val="9"/>
    <w:rsid w:val="00A3459E"/>
    <w:rPr>
      <w:rFonts w:ascii="Cambria" w:eastAsia="Times New Roman" w:hAnsi="Cambria" w:cs="Times New Roman"/>
      <w:smallCaps/>
      <w:color w:val="17365D"/>
      <w:spacing w:val="20"/>
      <w:sz w:val="28"/>
      <w:szCs w:val="28"/>
    </w:rPr>
  </w:style>
  <w:style w:type="character" w:customStyle="1" w:styleId="Titolo3Carattere">
    <w:name w:val="Titolo 3 Carattere"/>
    <w:basedOn w:val="Carpredefinitoparagrafo"/>
    <w:link w:val="Titolo3"/>
    <w:uiPriority w:val="9"/>
    <w:rsid w:val="00A3459E"/>
    <w:rPr>
      <w:rFonts w:ascii="Cambria" w:eastAsia="Times New Roman" w:hAnsi="Cambria" w:cs="Times New Roman"/>
      <w:smallCaps/>
      <w:color w:val="1F497D"/>
      <w:spacing w:val="20"/>
      <w:sz w:val="24"/>
      <w:szCs w:val="24"/>
    </w:rPr>
  </w:style>
  <w:style w:type="character" w:customStyle="1" w:styleId="Titolo4Carattere">
    <w:name w:val="Titolo 4 Carattere"/>
    <w:basedOn w:val="Carpredefinitoparagrafo"/>
    <w:link w:val="Titolo4"/>
    <w:uiPriority w:val="9"/>
    <w:rsid w:val="00A3459E"/>
    <w:rPr>
      <w:rFonts w:ascii="Cambria" w:eastAsia="Times New Roman" w:hAnsi="Cambria" w:cs="Times New Roman"/>
      <w:b/>
      <w:bCs/>
      <w:smallCaps/>
      <w:color w:val="3071C3"/>
      <w:spacing w:val="20"/>
    </w:rPr>
  </w:style>
  <w:style w:type="character" w:customStyle="1" w:styleId="Titolo5Carattere">
    <w:name w:val="Titolo 5 Carattere"/>
    <w:basedOn w:val="Carpredefinitoparagrafo"/>
    <w:link w:val="Titolo5"/>
    <w:uiPriority w:val="9"/>
    <w:rsid w:val="00A3459E"/>
    <w:rPr>
      <w:rFonts w:ascii="Cambria" w:eastAsia="Times New Roman" w:hAnsi="Cambria" w:cs="Times New Roman"/>
      <w:smallCaps/>
      <w:color w:val="3071C3"/>
      <w:spacing w:val="20"/>
    </w:rPr>
  </w:style>
  <w:style w:type="character" w:customStyle="1" w:styleId="Titolo6Carattere">
    <w:name w:val="Titolo 6 Carattere"/>
    <w:basedOn w:val="Carpredefinitoparagrafo"/>
    <w:link w:val="Titolo6"/>
    <w:uiPriority w:val="9"/>
    <w:semiHidden/>
    <w:rsid w:val="00A3459E"/>
    <w:rPr>
      <w:rFonts w:ascii="Cambria" w:eastAsia="Times New Roman" w:hAnsi="Cambria" w:cs="Times New Roman"/>
      <w:smallCaps/>
      <w:color w:val="938953"/>
      <w:spacing w:val="20"/>
    </w:rPr>
  </w:style>
  <w:style w:type="character" w:customStyle="1" w:styleId="Titolo7Carattere">
    <w:name w:val="Titolo 7 Carattere"/>
    <w:basedOn w:val="Carpredefinitoparagrafo"/>
    <w:link w:val="Titolo7"/>
    <w:uiPriority w:val="9"/>
    <w:semiHidden/>
    <w:rsid w:val="00A3459E"/>
    <w:rPr>
      <w:rFonts w:ascii="Cambria" w:eastAsia="Times New Roman" w:hAnsi="Cambria" w:cs="Times New Roman"/>
      <w:b/>
      <w:bCs/>
      <w:smallCaps/>
      <w:color w:val="938953"/>
      <w:spacing w:val="20"/>
      <w:sz w:val="16"/>
      <w:szCs w:val="16"/>
    </w:rPr>
  </w:style>
  <w:style w:type="character" w:customStyle="1" w:styleId="Titolo8Carattere">
    <w:name w:val="Titolo 8 Carattere"/>
    <w:basedOn w:val="Carpredefinitoparagrafo"/>
    <w:link w:val="Titolo8"/>
    <w:uiPriority w:val="9"/>
    <w:semiHidden/>
    <w:rsid w:val="00A3459E"/>
    <w:rPr>
      <w:rFonts w:ascii="Cambria" w:eastAsia="Times New Roman" w:hAnsi="Cambria" w:cs="Times New Roman"/>
      <w:b/>
      <w:smallCaps/>
      <w:color w:val="938953"/>
      <w:spacing w:val="20"/>
      <w:sz w:val="16"/>
      <w:szCs w:val="16"/>
    </w:rPr>
  </w:style>
  <w:style w:type="character" w:customStyle="1" w:styleId="Titolo9Carattere">
    <w:name w:val="Titolo 9 Carattere"/>
    <w:basedOn w:val="Carpredefinitoparagrafo"/>
    <w:link w:val="Titolo9"/>
    <w:uiPriority w:val="9"/>
    <w:semiHidden/>
    <w:rsid w:val="00A3459E"/>
    <w:rPr>
      <w:rFonts w:ascii="Cambria" w:eastAsia="Times New Roman" w:hAnsi="Cambria" w:cs="Times New Roman"/>
      <w:smallCaps/>
      <w:color w:val="938953"/>
      <w:spacing w:val="20"/>
      <w:sz w:val="16"/>
      <w:szCs w:val="16"/>
    </w:rPr>
  </w:style>
  <w:style w:type="paragraph" w:styleId="Didascalia">
    <w:name w:val="caption"/>
    <w:basedOn w:val="Normale"/>
    <w:next w:val="Normale"/>
    <w:uiPriority w:val="35"/>
    <w:semiHidden/>
    <w:unhideWhenUsed/>
    <w:qFormat/>
    <w:rsid w:val="00A3459E"/>
    <w:rPr>
      <w:b/>
      <w:bCs/>
      <w:smallCaps/>
      <w:color w:val="1F497D"/>
      <w:spacing w:val="10"/>
      <w:sz w:val="18"/>
      <w:szCs w:val="18"/>
    </w:rPr>
  </w:style>
  <w:style w:type="paragraph" w:styleId="Titolo">
    <w:name w:val="Title"/>
    <w:next w:val="Normale"/>
    <w:link w:val="TitoloCarattere"/>
    <w:uiPriority w:val="10"/>
    <w:qFormat/>
    <w:rsid w:val="00A3459E"/>
    <w:pPr>
      <w:spacing w:after="160"/>
      <w:contextualSpacing/>
    </w:pPr>
    <w:rPr>
      <w:rFonts w:ascii="Cambria" w:eastAsia="Times New Roman" w:hAnsi="Cambria"/>
      <w:smallCaps/>
      <w:color w:val="17365D"/>
      <w:spacing w:val="5"/>
      <w:sz w:val="72"/>
      <w:szCs w:val="72"/>
      <w:lang w:val="en-US" w:eastAsia="en-US" w:bidi="en-US"/>
    </w:rPr>
  </w:style>
  <w:style w:type="character" w:customStyle="1" w:styleId="TitoloCarattere">
    <w:name w:val="Titolo Carattere"/>
    <w:basedOn w:val="Carpredefinitoparagrafo"/>
    <w:link w:val="Titolo"/>
    <w:uiPriority w:val="10"/>
    <w:rsid w:val="00A3459E"/>
    <w:rPr>
      <w:rFonts w:ascii="Cambria" w:eastAsia="Times New Roman" w:hAnsi="Cambria"/>
      <w:smallCaps/>
      <w:color w:val="17365D"/>
      <w:spacing w:val="5"/>
      <w:sz w:val="72"/>
      <w:szCs w:val="72"/>
      <w:lang w:val="en-US" w:eastAsia="en-US" w:bidi="en-US"/>
    </w:rPr>
  </w:style>
  <w:style w:type="paragraph" w:styleId="Sottotitolo">
    <w:name w:val="Subtitle"/>
    <w:next w:val="Normale"/>
    <w:link w:val="SottotitoloCarattere"/>
    <w:uiPriority w:val="11"/>
    <w:qFormat/>
    <w:rsid w:val="00A3459E"/>
    <w:pPr>
      <w:spacing w:after="600"/>
    </w:pPr>
    <w:rPr>
      <w:smallCaps/>
      <w:color w:val="938953"/>
      <w:spacing w:val="5"/>
      <w:sz w:val="28"/>
      <w:szCs w:val="28"/>
      <w:lang w:val="en-US" w:eastAsia="en-US" w:bidi="en-US"/>
    </w:rPr>
  </w:style>
  <w:style w:type="character" w:customStyle="1" w:styleId="SottotitoloCarattere">
    <w:name w:val="Sottotitolo Carattere"/>
    <w:basedOn w:val="Carpredefinitoparagrafo"/>
    <w:link w:val="Sottotitolo"/>
    <w:uiPriority w:val="11"/>
    <w:rsid w:val="00A3459E"/>
    <w:rPr>
      <w:smallCaps/>
      <w:color w:val="938953"/>
      <w:spacing w:val="5"/>
      <w:sz w:val="28"/>
      <w:szCs w:val="28"/>
      <w:lang w:val="en-US" w:eastAsia="en-US" w:bidi="en-US"/>
    </w:rPr>
  </w:style>
  <w:style w:type="character" w:styleId="Enfasigrassetto">
    <w:name w:val="Strong"/>
    <w:uiPriority w:val="22"/>
    <w:qFormat/>
    <w:rsid w:val="00A3459E"/>
    <w:rPr>
      <w:b/>
      <w:bCs/>
      <w:spacing w:val="0"/>
    </w:rPr>
  </w:style>
  <w:style w:type="character" w:styleId="Enfasicorsivo">
    <w:name w:val="Emphasis"/>
    <w:uiPriority w:val="20"/>
    <w:qFormat/>
    <w:rsid w:val="00A3459E"/>
    <w:rPr>
      <w:b/>
      <w:bCs/>
      <w:smallCaps/>
      <w:dstrike w:val="0"/>
      <w:color w:val="5A5A5A"/>
      <w:spacing w:val="20"/>
      <w:kern w:val="0"/>
      <w:vertAlign w:val="baseline"/>
    </w:rPr>
  </w:style>
  <w:style w:type="paragraph" w:styleId="Nessunaspaziatura">
    <w:name w:val="No Spacing"/>
    <w:basedOn w:val="Normale"/>
    <w:uiPriority w:val="1"/>
    <w:qFormat/>
    <w:rsid w:val="00A3459E"/>
  </w:style>
  <w:style w:type="paragraph" w:styleId="Paragrafoelenco">
    <w:name w:val="List Paragraph"/>
    <w:basedOn w:val="Normale"/>
    <w:uiPriority w:val="34"/>
    <w:qFormat/>
    <w:rsid w:val="00A3459E"/>
    <w:pPr>
      <w:ind w:left="720"/>
      <w:contextualSpacing/>
    </w:pPr>
  </w:style>
  <w:style w:type="paragraph" w:styleId="Citazione">
    <w:name w:val="Quote"/>
    <w:basedOn w:val="Normale"/>
    <w:next w:val="Normale"/>
    <w:link w:val="CitazioneCarattere"/>
    <w:uiPriority w:val="29"/>
    <w:qFormat/>
    <w:rsid w:val="00A3459E"/>
    <w:rPr>
      <w:i/>
      <w:iCs/>
    </w:rPr>
  </w:style>
  <w:style w:type="character" w:customStyle="1" w:styleId="CitazioneCarattere">
    <w:name w:val="Citazione Carattere"/>
    <w:basedOn w:val="Carpredefinitoparagrafo"/>
    <w:link w:val="Citazione"/>
    <w:uiPriority w:val="29"/>
    <w:rsid w:val="00A3459E"/>
    <w:rPr>
      <w:i/>
      <w:iCs/>
      <w:color w:val="5A5A5A"/>
      <w:sz w:val="20"/>
      <w:szCs w:val="20"/>
    </w:rPr>
  </w:style>
  <w:style w:type="paragraph" w:styleId="Citazioneintensa">
    <w:name w:val="Intense Quote"/>
    <w:basedOn w:val="Normale"/>
    <w:next w:val="Normale"/>
    <w:link w:val="CitazioneintensaCarattere"/>
    <w:uiPriority w:val="30"/>
    <w:qFormat/>
    <w:rsid w:val="00A3459E"/>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CitazioneintensaCarattere">
    <w:name w:val="Citazione intensa Carattere"/>
    <w:basedOn w:val="Carpredefinitoparagrafo"/>
    <w:link w:val="Citazioneintensa"/>
    <w:uiPriority w:val="30"/>
    <w:rsid w:val="00A3459E"/>
    <w:rPr>
      <w:rFonts w:ascii="Cambria" w:eastAsia="Times New Roman" w:hAnsi="Cambria" w:cs="Times New Roman"/>
      <w:smallCaps/>
      <w:color w:val="365F91"/>
      <w:sz w:val="20"/>
      <w:szCs w:val="20"/>
    </w:rPr>
  </w:style>
  <w:style w:type="character" w:styleId="Enfasidelicata">
    <w:name w:val="Subtle Emphasis"/>
    <w:uiPriority w:val="19"/>
    <w:qFormat/>
    <w:rsid w:val="00A3459E"/>
    <w:rPr>
      <w:smallCaps/>
      <w:dstrike w:val="0"/>
      <w:color w:val="5A5A5A"/>
      <w:vertAlign w:val="baseline"/>
    </w:rPr>
  </w:style>
  <w:style w:type="character" w:styleId="Enfasiintensa">
    <w:name w:val="Intense Emphasis"/>
    <w:uiPriority w:val="21"/>
    <w:qFormat/>
    <w:rsid w:val="00A3459E"/>
    <w:rPr>
      <w:b/>
      <w:bCs/>
      <w:smallCaps/>
      <w:color w:val="4F81BD"/>
      <w:spacing w:val="40"/>
    </w:rPr>
  </w:style>
  <w:style w:type="character" w:styleId="Riferimentodelicato">
    <w:name w:val="Subtle Reference"/>
    <w:uiPriority w:val="31"/>
    <w:qFormat/>
    <w:rsid w:val="00A3459E"/>
    <w:rPr>
      <w:rFonts w:ascii="Cambria" w:eastAsia="Times New Roman" w:hAnsi="Cambria" w:cs="Times New Roman"/>
      <w:i/>
      <w:iCs/>
      <w:smallCaps/>
      <w:color w:val="5A5A5A"/>
      <w:spacing w:val="20"/>
    </w:rPr>
  </w:style>
  <w:style w:type="character" w:styleId="Riferimentointenso">
    <w:name w:val="Intense Reference"/>
    <w:uiPriority w:val="32"/>
    <w:qFormat/>
    <w:rsid w:val="00A3459E"/>
    <w:rPr>
      <w:rFonts w:ascii="Cambria" w:eastAsia="Times New Roman" w:hAnsi="Cambria" w:cs="Times New Roman"/>
      <w:b/>
      <w:bCs/>
      <w:i/>
      <w:iCs/>
      <w:smallCaps/>
      <w:color w:val="17365D"/>
      <w:spacing w:val="20"/>
    </w:rPr>
  </w:style>
  <w:style w:type="character" w:styleId="Titolodellibro">
    <w:name w:val="Book Title"/>
    <w:uiPriority w:val="33"/>
    <w:qFormat/>
    <w:rsid w:val="00A3459E"/>
    <w:rPr>
      <w:rFonts w:ascii="Cambria" w:eastAsia="Times New Roman" w:hAnsi="Cambria" w:cs="Times New Roman"/>
      <w:b/>
      <w:bCs/>
      <w:smallCaps/>
      <w:color w:val="17365D"/>
      <w:spacing w:val="10"/>
      <w:u w:val="single"/>
    </w:rPr>
  </w:style>
  <w:style w:type="paragraph" w:styleId="Titolosommario">
    <w:name w:val="TOC Heading"/>
    <w:basedOn w:val="Titolo1"/>
    <w:next w:val="Normale"/>
    <w:uiPriority w:val="39"/>
    <w:semiHidden/>
    <w:unhideWhenUsed/>
    <w:qFormat/>
    <w:rsid w:val="00A3459E"/>
    <w:pPr>
      <w:outlineLvl w:val="9"/>
    </w:pPr>
  </w:style>
  <w:style w:type="paragraph" w:customStyle="1" w:styleId="Default">
    <w:name w:val="Default"/>
    <w:rsid w:val="00747FC7"/>
    <w:pPr>
      <w:autoSpaceDE w:val="0"/>
      <w:autoSpaceDN w:val="0"/>
      <w:adjustRightInd w:val="0"/>
    </w:pPr>
    <w:rPr>
      <w:rFonts w:ascii="Times New Roman" w:eastAsia="Times New Roman" w:hAnsi="Times New Roman"/>
      <w:color w:val="000000"/>
      <w:sz w:val="24"/>
      <w:szCs w:val="24"/>
    </w:rPr>
  </w:style>
  <w:style w:type="character" w:styleId="Collegamentoipertestuale">
    <w:name w:val="Hyperlink"/>
    <w:rsid w:val="00747FC7"/>
    <w:rPr>
      <w:color w:val="0000FF"/>
      <w:u w:val="single"/>
    </w:rPr>
  </w:style>
  <w:style w:type="paragraph" w:styleId="Testofumetto">
    <w:name w:val="Balloon Text"/>
    <w:basedOn w:val="Normale"/>
    <w:link w:val="TestofumettoCarattere"/>
    <w:uiPriority w:val="99"/>
    <w:semiHidden/>
    <w:unhideWhenUsed/>
    <w:rsid w:val="00A26BC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6BCF"/>
    <w:rPr>
      <w:rFonts w:ascii="Tahoma" w:eastAsia="Times New Roman" w:hAnsi="Tahoma" w:cs="Tahoma"/>
      <w:sz w:val="16"/>
      <w:szCs w:val="16"/>
    </w:rPr>
  </w:style>
  <w:style w:type="paragraph" w:styleId="Revisione">
    <w:name w:val="Revision"/>
    <w:hidden/>
    <w:uiPriority w:val="99"/>
    <w:semiHidden/>
    <w:rsid w:val="00A762FA"/>
    <w:rPr>
      <w:rFonts w:ascii="Times New Roman" w:eastAsia="Times New Roman" w:hAnsi="Times New Roman"/>
      <w:sz w:val="24"/>
      <w:szCs w:val="24"/>
    </w:rPr>
  </w:style>
  <w:style w:type="character" w:styleId="Rimandocommento">
    <w:name w:val="annotation reference"/>
    <w:basedOn w:val="Carpredefinitoparagrafo"/>
    <w:uiPriority w:val="99"/>
    <w:semiHidden/>
    <w:unhideWhenUsed/>
    <w:rsid w:val="00A93CA0"/>
    <w:rPr>
      <w:sz w:val="16"/>
      <w:szCs w:val="16"/>
    </w:rPr>
  </w:style>
  <w:style w:type="paragraph" w:styleId="Testocommento">
    <w:name w:val="annotation text"/>
    <w:basedOn w:val="Normale"/>
    <w:link w:val="TestocommentoCarattere"/>
    <w:uiPriority w:val="99"/>
    <w:semiHidden/>
    <w:unhideWhenUsed/>
    <w:rsid w:val="00A93CA0"/>
    <w:rPr>
      <w:sz w:val="20"/>
      <w:szCs w:val="20"/>
    </w:rPr>
  </w:style>
  <w:style w:type="character" w:customStyle="1" w:styleId="TestocommentoCarattere">
    <w:name w:val="Testo commento Carattere"/>
    <w:basedOn w:val="Carpredefinitoparagrafo"/>
    <w:link w:val="Testocommento"/>
    <w:uiPriority w:val="99"/>
    <w:semiHidden/>
    <w:rsid w:val="00A93CA0"/>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A93CA0"/>
    <w:rPr>
      <w:b/>
      <w:bCs/>
    </w:rPr>
  </w:style>
  <w:style w:type="character" w:customStyle="1" w:styleId="SoggettocommentoCarattere">
    <w:name w:val="Soggetto commento Carattere"/>
    <w:basedOn w:val="TestocommentoCarattere"/>
    <w:link w:val="Soggettocommento"/>
    <w:uiPriority w:val="99"/>
    <w:semiHidden/>
    <w:rsid w:val="00A93CA0"/>
    <w:rPr>
      <w:rFonts w:ascii="Times New Roman" w:eastAsia="Times New Roman" w:hAnsi="Times New Roman"/>
      <w:b/>
      <w:bCs/>
    </w:rPr>
  </w:style>
  <w:style w:type="paragraph" w:styleId="Intestazione">
    <w:name w:val="header"/>
    <w:basedOn w:val="Normale"/>
    <w:link w:val="IntestazioneCarattere"/>
    <w:uiPriority w:val="99"/>
    <w:unhideWhenUsed/>
    <w:rsid w:val="008B7213"/>
    <w:pPr>
      <w:tabs>
        <w:tab w:val="center" w:pos="4819"/>
        <w:tab w:val="right" w:pos="9638"/>
      </w:tabs>
    </w:pPr>
  </w:style>
  <w:style w:type="character" w:customStyle="1" w:styleId="IntestazioneCarattere">
    <w:name w:val="Intestazione Carattere"/>
    <w:basedOn w:val="Carpredefinitoparagrafo"/>
    <w:link w:val="Intestazione"/>
    <w:uiPriority w:val="99"/>
    <w:rsid w:val="008B7213"/>
    <w:rPr>
      <w:rFonts w:ascii="Times New Roman" w:eastAsia="Times New Roman" w:hAnsi="Times New Roman"/>
      <w:sz w:val="24"/>
      <w:szCs w:val="24"/>
    </w:rPr>
  </w:style>
  <w:style w:type="paragraph" w:styleId="Pidipagina">
    <w:name w:val="footer"/>
    <w:basedOn w:val="Normale"/>
    <w:link w:val="PidipaginaCarattere"/>
    <w:uiPriority w:val="99"/>
    <w:unhideWhenUsed/>
    <w:rsid w:val="008B7213"/>
    <w:pPr>
      <w:tabs>
        <w:tab w:val="center" w:pos="4819"/>
        <w:tab w:val="right" w:pos="9638"/>
      </w:tabs>
    </w:pPr>
  </w:style>
  <w:style w:type="character" w:customStyle="1" w:styleId="PidipaginaCarattere">
    <w:name w:val="Piè di pagina Carattere"/>
    <w:basedOn w:val="Carpredefinitoparagrafo"/>
    <w:link w:val="Pidipagina"/>
    <w:uiPriority w:val="99"/>
    <w:rsid w:val="008B721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brodigasvendita.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ebrodiga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8300F-E036-414A-B79B-0250251D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5903</Words>
  <Characters>33648</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39473</CharactersWithSpaces>
  <SharedDoc>false</SharedDoc>
  <HLinks>
    <vt:vector size="12" baseType="variant">
      <vt:variant>
        <vt:i4>2293774</vt:i4>
      </vt:variant>
      <vt:variant>
        <vt:i4>3</vt:i4>
      </vt:variant>
      <vt:variant>
        <vt:i4>0</vt:i4>
      </vt:variant>
      <vt:variant>
        <vt:i4>5</vt:i4>
      </vt:variant>
      <vt:variant>
        <vt:lpwstr>mailto:info@nebrodigas.it</vt:lpwstr>
      </vt:variant>
      <vt:variant>
        <vt:lpwstr/>
      </vt:variant>
      <vt:variant>
        <vt:i4>1441816</vt:i4>
      </vt:variant>
      <vt:variant>
        <vt:i4>0</vt:i4>
      </vt:variant>
      <vt:variant>
        <vt:i4>0</vt:i4>
      </vt:variant>
      <vt:variant>
        <vt:i4>5</vt:i4>
      </vt:variant>
      <vt:variant>
        <vt:lpwstr>http://www.nebrodigasvendita.it/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2018-12-19T11:03:00Z</cp:lastPrinted>
  <dcterms:created xsi:type="dcterms:W3CDTF">2018-12-19T11:04:00Z</dcterms:created>
  <dcterms:modified xsi:type="dcterms:W3CDTF">2018-12-19T11:04:00Z</dcterms:modified>
</cp:coreProperties>
</file>